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ABeeZee" w:cs="ABeeZee" w:eastAsia="ABeeZee" w:hAnsi="ABeeZee"/>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14400" cy="817626"/>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55132" l="76765" r="14478" t="30847"/>
                    <a:stretch>
                      <a:fillRect/>
                    </a:stretch>
                  </pic:blipFill>
                  <pic:spPr>
                    <a:xfrm>
                      <a:off x="0" y="0"/>
                      <a:ext cx="914400" cy="817626"/>
                    </a:xfrm>
                    <a:prstGeom prst="rect"/>
                    <a:ln/>
                  </pic:spPr>
                </pic:pic>
              </a:graphicData>
            </a:graphic>
          </wp:anchor>
        </w:drawing>
      </w:r>
    </w:p>
    <w:p w:rsidR="00000000" w:rsidDel="00000000" w:rsidP="00000000" w:rsidRDefault="00000000" w:rsidRPr="00000000" w14:paraId="00000002">
      <w:pPr>
        <w:pageBreakBefore w:val="0"/>
        <w:ind w:left="0" w:firstLine="0"/>
        <w:rPr>
          <w:rFonts w:ascii="ABeeZee" w:cs="ABeeZee" w:eastAsia="ABeeZee" w:hAnsi="ABeeZee"/>
          <w:b w:val="1"/>
          <w:sz w:val="28"/>
          <w:szCs w:val="28"/>
        </w:rPr>
      </w:pPr>
      <w:r w:rsidDel="00000000" w:rsidR="00000000" w:rsidRPr="00000000">
        <w:rPr>
          <w:rFonts w:ascii="ABeeZee" w:cs="ABeeZee" w:eastAsia="ABeeZee" w:hAnsi="ABeeZee"/>
          <w:b w:val="1"/>
          <w:sz w:val="28"/>
          <w:szCs w:val="28"/>
          <w:rtl w:val="0"/>
        </w:rPr>
        <w:t xml:space="preserve">Centerville City Schools </w:t>
      </w:r>
    </w:p>
    <w:p w:rsidR="00000000" w:rsidDel="00000000" w:rsidP="00000000" w:rsidRDefault="00000000" w:rsidRPr="00000000" w14:paraId="00000003">
      <w:pPr>
        <w:pageBreakBefore w:val="0"/>
        <w:ind w:left="0" w:firstLine="0"/>
        <w:rPr>
          <w:rFonts w:ascii="ABeeZee" w:cs="ABeeZee" w:eastAsia="ABeeZee" w:hAnsi="ABeeZee"/>
          <w:b w:val="1"/>
          <w:i w:val="1"/>
          <w:sz w:val="28"/>
          <w:szCs w:val="28"/>
        </w:rPr>
      </w:pPr>
      <w:r w:rsidDel="00000000" w:rsidR="00000000" w:rsidRPr="00000000">
        <w:rPr>
          <w:rFonts w:ascii="ABeeZee" w:cs="ABeeZee" w:eastAsia="ABeeZee" w:hAnsi="ABeeZee"/>
          <w:b w:val="1"/>
          <w:i w:val="1"/>
          <w:sz w:val="28"/>
          <w:szCs w:val="28"/>
          <w:rtl w:val="0"/>
        </w:rPr>
        <w:t xml:space="preserve">Family Engagement Core Values</w:t>
      </w:r>
    </w:p>
    <w:p w:rsidR="00000000" w:rsidDel="00000000" w:rsidP="00000000" w:rsidRDefault="00000000" w:rsidRPr="00000000" w14:paraId="00000004">
      <w:pPr>
        <w:pageBreakBefore w:val="0"/>
        <w:ind w:left="0" w:firstLine="0"/>
        <w:rPr>
          <w:rFonts w:ascii="ABeeZee" w:cs="ABeeZee" w:eastAsia="ABeeZee" w:hAnsi="ABeeZee"/>
          <w:b w:val="1"/>
          <w:sz w:val="28"/>
          <w:szCs w:val="28"/>
        </w:rPr>
      </w:pPr>
      <w:r w:rsidDel="00000000" w:rsidR="00000000" w:rsidRPr="00000000">
        <w:rPr>
          <w:rtl w:val="0"/>
        </w:rPr>
      </w:r>
    </w:p>
    <w:p w:rsidR="00000000" w:rsidDel="00000000" w:rsidP="00000000" w:rsidRDefault="00000000" w:rsidRPr="00000000" w14:paraId="00000005">
      <w:pPr>
        <w:pageBreakBefore w:val="0"/>
        <w:ind w:left="0" w:firstLine="0"/>
        <w:rPr>
          <w:rFonts w:ascii="ABeeZee" w:cs="ABeeZee" w:eastAsia="ABeeZee" w:hAnsi="ABeeZee"/>
          <w:b w:val="1"/>
          <w:sz w:val="28"/>
          <w:szCs w:val="28"/>
        </w:rPr>
      </w:pPr>
      <w:r w:rsidDel="00000000" w:rsidR="00000000" w:rsidRPr="00000000">
        <w:rPr>
          <w:rFonts w:ascii="ABeeZee" w:cs="ABeeZee" w:eastAsia="ABeeZee" w:hAnsi="ABeeZee"/>
          <w:b w:val="1"/>
          <w:sz w:val="28"/>
          <w:szCs w:val="28"/>
          <w:rtl w:val="0"/>
        </w:rPr>
        <w:t xml:space="preserve">What is Family Engagement?</w:t>
      </w:r>
    </w:p>
    <w:p w:rsidR="00000000" w:rsidDel="00000000" w:rsidP="00000000" w:rsidRDefault="00000000" w:rsidRPr="00000000" w14:paraId="00000006">
      <w:pPr>
        <w:pageBreakBefore w:val="0"/>
        <w:ind w:left="0" w:firstLine="0"/>
        <w:rPr>
          <w:rFonts w:ascii="ABeeZee" w:cs="ABeeZee" w:eastAsia="ABeeZee" w:hAnsi="ABeeZee"/>
          <w:b w:val="1"/>
          <w:sz w:val="26"/>
          <w:szCs w:val="26"/>
        </w:rPr>
      </w:pPr>
      <w:r w:rsidDel="00000000" w:rsidR="00000000" w:rsidRPr="00000000">
        <w:rPr>
          <w:rtl w:val="0"/>
        </w:rPr>
      </w:r>
    </w:p>
    <w:p w:rsidR="00000000" w:rsidDel="00000000" w:rsidP="00000000" w:rsidRDefault="00000000" w:rsidRPr="00000000" w14:paraId="00000007">
      <w:pPr>
        <w:pageBreakBefore w:val="0"/>
        <w:ind w:left="720" w:firstLine="0"/>
        <w:rPr>
          <w:rFonts w:ascii="ABeeZee" w:cs="ABeeZee" w:eastAsia="ABeeZee" w:hAnsi="ABeeZee"/>
          <w:sz w:val="26"/>
          <w:szCs w:val="26"/>
        </w:rPr>
      </w:pPr>
      <w:r w:rsidDel="00000000" w:rsidR="00000000" w:rsidRPr="00000000">
        <w:rPr>
          <w:rFonts w:ascii="ABeeZee" w:cs="ABeeZee" w:eastAsia="ABeeZee" w:hAnsi="ABeeZee"/>
          <w:sz w:val="26"/>
          <w:szCs w:val="26"/>
          <w:rtl w:val="0"/>
        </w:rPr>
        <w:t xml:space="preserve">Family engagement is </w:t>
      </w:r>
      <w:r w:rsidDel="00000000" w:rsidR="00000000" w:rsidRPr="00000000">
        <w:rPr>
          <w:rFonts w:ascii="ABeeZee" w:cs="ABeeZee" w:eastAsia="ABeeZee" w:hAnsi="ABeeZee"/>
          <w:sz w:val="26"/>
          <w:szCs w:val="26"/>
          <w:rtl w:val="0"/>
        </w:rPr>
        <w:t xml:space="preserve">the purposeful and intentional inclusion of all families in the planning, execution, and evaluation of activities and programs that promote children’s development, learning, and wellness.</w:t>
      </w:r>
    </w:p>
    <w:p w:rsidR="00000000" w:rsidDel="00000000" w:rsidP="00000000" w:rsidRDefault="00000000" w:rsidRPr="00000000" w14:paraId="00000008">
      <w:pPr>
        <w:pageBreakBefore w:val="0"/>
        <w:ind w:left="720" w:firstLine="0"/>
        <w:rPr>
          <w:rFonts w:ascii="Mali" w:cs="Mali" w:eastAsia="Mali" w:hAnsi="Mali"/>
          <w:b w:val="1"/>
        </w:rPr>
      </w:pPr>
      <w:r w:rsidDel="00000000" w:rsidR="00000000" w:rsidRPr="00000000">
        <w:rPr>
          <w:rtl w:val="0"/>
        </w:rPr>
      </w:r>
    </w:p>
    <w:p w:rsidR="00000000" w:rsidDel="00000000" w:rsidP="00000000" w:rsidRDefault="00000000" w:rsidRPr="00000000" w14:paraId="00000009">
      <w:pPr>
        <w:pageBreakBefore w:val="0"/>
        <w:widowControl w:val="0"/>
        <w:ind w:left="0" w:firstLine="0"/>
        <w:jc w:val="left"/>
        <w:rPr>
          <w:rFonts w:ascii="ABeeZee" w:cs="ABeeZee" w:eastAsia="ABeeZee" w:hAnsi="ABeeZee"/>
          <w:b w:val="1"/>
          <w:color w:val="414042"/>
          <w:sz w:val="28"/>
          <w:szCs w:val="28"/>
          <w:highlight w:val="white"/>
        </w:rPr>
      </w:pPr>
      <w:r w:rsidDel="00000000" w:rsidR="00000000" w:rsidRPr="00000000">
        <w:rPr>
          <w:rFonts w:ascii="ABeeZee" w:cs="ABeeZee" w:eastAsia="ABeeZee" w:hAnsi="ABeeZee"/>
          <w:b w:val="1"/>
          <w:color w:val="414042"/>
          <w:sz w:val="28"/>
          <w:szCs w:val="28"/>
          <w:highlight w:val="white"/>
          <w:rtl w:val="0"/>
        </w:rPr>
        <w:t xml:space="preserve">Essential Practices for Family Engagement:</w:t>
      </w:r>
    </w:p>
    <w:p w:rsidR="00000000" w:rsidDel="00000000" w:rsidP="00000000" w:rsidRDefault="00000000" w:rsidRPr="00000000" w14:paraId="0000000A">
      <w:pPr>
        <w:pageBreakBefore w:val="0"/>
        <w:widowControl w:val="0"/>
        <w:ind w:left="0" w:firstLine="0"/>
        <w:rPr>
          <w:rFonts w:ascii="ABeeZee" w:cs="ABeeZee" w:eastAsia="ABeeZee" w:hAnsi="ABeeZee"/>
          <w:b w:val="1"/>
          <w:color w:val="414042"/>
          <w:sz w:val="28"/>
          <w:szCs w:val="28"/>
          <w:highlight w:val="white"/>
          <w:u w:val="single"/>
        </w:rPr>
      </w:pPr>
      <w:r w:rsidDel="00000000" w:rsidR="00000000" w:rsidRPr="00000000">
        <w:rPr>
          <w:rtl w:val="0"/>
        </w:rPr>
      </w:r>
    </w:p>
    <w:p w:rsidR="00000000" w:rsidDel="00000000" w:rsidP="00000000" w:rsidRDefault="00000000" w:rsidRPr="00000000" w14:paraId="0000000B">
      <w:pPr>
        <w:pageBreakBefore w:val="0"/>
        <w:widowControl w:val="0"/>
        <w:numPr>
          <w:ilvl w:val="0"/>
          <w:numId w:val="1"/>
        </w:numPr>
        <w:ind w:left="720" w:hanging="360"/>
        <w:rPr>
          <w:rFonts w:ascii="Nunito" w:cs="Nunito" w:eastAsia="Nunito" w:hAnsi="Nunito"/>
          <w:color w:val="414042"/>
          <w:sz w:val="24"/>
          <w:szCs w:val="24"/>
          <w:highlight w:val="white"/>
        </w:rPr>
      </w:pPr>
      <w:r w:rsidDel="00000000" w:rsidR="00000000" w:rsidRPr="00000000">
        <w:rPr>
          <w:rFonts w:ascii="ABeeZee" w:cs="ABeeZee" w:eastAsia="ABeeZee" w:hAnsi="ABeeZee"/>
          <w:b w:val="1"/>
          <w:color w:val="414042"/>
          <w:sz w:val="24"/>
          <w:szCs w:val="24"/>
          <w:highlight w:val="white"/>
          <w:u w:val="single"/>
          <w:rtl w:val="0"/>
        </w:rPr>
        <w:t xml:space="preserve">Listen First: </w:t>
      </w:r>
      <w:r w:rsidDel="00000000" w:rsidR="00000000" w:rsidRPr="00000000">
        <w:rPr>
          <w:rFonts w:ascii="ABeeZee" w:cs="ABeeZee" w:eastAsia="ABeeZee" w:hAnsi="ABeeZee"/>
          <w:color w:val="414042"/>
          <w:sz w:val="24"/>
          <w:szCs w:val="24"/>
          <w:highlight w:val="white"/>
          <w:rtl w:val="0"/>
        </w:rPr>
        <w:t xml:space="preserve">Proactively cultivate a culture of listening in order to build trust and support the dreams and goals of the community. Seek to discover strengths and build upon them. </w:t>
      </w:r>
      <w:r w:rsidDel="00000000" w:rsidR="00000000" w:rsidRPr="00000000">
        <w:rPr>
          <w:rtl w:val="0"/>
        </w:rPr>
      </w:r>
    </w:p>
    <w:p w:rsidR="00000000" w:rsidDel="00000000" w:rsidP="00000000" w:rsidRDefault="00000000" w:rsidRPr="00000000" w14:paraId="0000000C">
      <w:pPr>
        <w:pageBreakBefore w:val="0"/>
        <w:widowControl w:val="0"/>
        <w:numPr>
          <w:ilvl w:val="0"/>
          <w:numId w:val="1"/>
        </w:numPr>
        <w:ind w:left="720" w:hanging="360"/>
        <w:rPr>
          <w:color w:val="414042"/>
          <w:sz w:val="24"/>
          <w:szCs w:val="24"/>
          <w:highlight w:val="white"/>
        </w:rPr>
      </w:pPr>
      <w:r w:rsidDel="00000000" w:rsidR="00000000" w:rsidRPr="00000000">
        <w:rPr>
          <w:rFonts w:ascii="ABeeZee" w:cs="ABeeZee" w:eastAsia="ABeeZee" w:hAnsi="ABeeZee"/>
          <w:b w:val="1"/>
          <w:sz w:val="24"/>
          <w:szCs w:val="24"/>
          <w:u w:val="single"/>
          <w:rtl w:val="0"/>
        </w:rPr>
        <w:t xml:space="preserve">Accept and seek to understand inequities in society: </w:t>
      </w:r>
      <w:r w:rsidDel="00000000" w:rsidR="00000000" w:rsidRPr="00000000">
        <w:rPr>
          <w:rFonts w:ascii="ABeeZee" w:cs="ABeeZee" w:eastAsia="ABeeZee" w:hAnsi="ABeeZee"/>
          <w:sz w:val="24"/>
          <w:szCs w:val="24"/>
          <w:rtl w:val="0"/>
        </w:rPr>
        <w:t xml:space="preserve"> Inequities in schools occur because of structures that exist in society. Operate under the truth that these </w:t>
      </w:r>
      <w:r w:rsidDel="00000000" w:rsidR="00000000" w:rsidRPr="00000000">
        <w:rPr>
          <w:rFonts w:ascii="ABeeZee" w:cs="ABeeZee" w:eastAsia="ABeeZee" w:hAnsi="ABeeZee"/>
          <w:sz w:val="24"/>
          <w:szCs w:val="24"/>
          <w:rtl w:val="0"/>
        </w:rPr>
        <w:t xml:space="preserve">societal </w:t>
      </w:r>
      <w:r w:rsidDel="00000000" w:rsidR="00000000" w:rsidRPr="00000000">
        <w:rPr>
          <w:rFonts w:ascii="ABeeZee" w:cs="ABeeZee" w:eastAsia="ABeeZee" w:hAnsi="ABeeZee"/>
          <w:sz w:val="24"/>
          <w:szCs w:val="24"/>
          <w:rtl w:val="0"/>
        </w:rPr>
        <w:t xml:space="preserve">structures are also present in schools. </w:t>
      </w:r>
      <w:r w:rsidDel="00000000" w:rsidR="00000000" w:rsidRPr="00000000">
        <w:rPr>
          <w:rFonts w:ascii="ABeeZee" w:cs="ABeeZee" w:eastAsia="ABeeZee" w:hAnsi="ABeeZee"/>
          <w:sz w:val="24"/>
          <w:szCs w:val="24"/>
          <w:rtl w:val="0"/>
        </w:rPr>
        <w:t xml:space="preserve">Educators, students, and families should collaborate to challenge these inequities.</w:t>
      </w:r>
    </w:p>
    <w:p w:rsidR="00000000" w:rsidDel="00000000" w:rsidP="00000000" w:rsidRDefault="00000000" w:rsidRPr="00000000" w14:paraId="0000000D">
      <w:pPr>
        <w:pageBreakBefore w:val="0"/>
        <w:widowControl w:val="0"/>
        <w:numPr>
          <w:ilvl w:val="0"/>
          <w:numId w:val="1"/>
        </w:numPr>
        <w:ind w:left="720" w:hanging="360"/>
        <w:rPr>
          <w:color w:val="414042"/>
          <w:sz w:val="24"/>
          <w:szCs w:val="24"/>
          <w:highlight w:val="white"/>
        </w:rPr>
      </w:pPr>
      <w:r w:rsidDel="00000000" w:rsidR="00000000" w:rsidRPr="00000000">
        <w:rPr>
          <w:rFonts w:ascii="ABeeZee" w:cs="ABeeZee" w:eastAsia="ABeeZee" w:hAnsi="ABeeZee"/>
          <w:b w:val="1"/>
          <w:color w:val="414042"/>
          <w:sz w:val="24"/>
          <w:szCs w:val="24"/>
          <w:highlight w:val="white"/>
          <w:u w:val="single"/>
          <w:rtl w:val="0"/>
        </w:rPr>
        <w:t xml:space="preserve">Work </w:t>
      </w:r>
      <w:r w:rsidDel="00000000" w:rsidR="00000000" w:rsidRPr="00000000">
        <w:rPr>
          <w:rFonts w:ascii="ABeeZee" w:cs="ABeeZee" w:eastAsia="ABeeZee" w:hAnsi="ABeeZee"/>
          <w:b w:val="1"/>
          <w:i w:val="1"/>
          <w:color w:val="414042"/>
          <w:sz w:val="24"/>
          <w:szCs w:val="24"/>
          <w:highlight w:val="white"/>
          <w:u w:val="single"/>
          <w:rtl w:val="0"/>
        </w:rPr>
        <w:t xml:space="preserve">With</w:t>
      </w:r>
      <w:r w:rsidDel="00000000" w:rsidR="00000000" w:rsidRPr="00000000">
        <w:rPr>
          <w:rFonts w:ascii="ABeeZee" w:cs="ABeeZee" w:eastAsia="ABeeZee" w:hAnsi="ABeeZee"/>
          <w:b w:val="1"/>
          <w:color w:val="414042"/>
          <w:sz w:val="24"/>
          <w:szCs w:val="24"/>
          <w:highlight w:val="white"/>
          <w:u w:val="single"/>
          <w:rtl w:val="0"/>
        </w:rPr>
        <w:t xml:space="preserve"> Instead of Doing </w:t>
      </w:r>
      <w:r w:rsidDel="00000000" w:rsidR="00000000" w:rsidRPr="00000000">
        <w:rPr>
          <w:rFonts w:ascii="ABeeZee" w:cs="ABeeZee" w:eastAsia="ABeeZee" w:hAnsi="ABeeZee"/>
          <w:b w:val="1"/>
          <w:i w:val="1"/>
          <w:color w:val="414042"/>
          <w:sz w:val="24"/>
          <w:szCs w:val="24"/>
          <w:highlight w:val="white"/>
          <w:u w:val="single"/>
          <w:rtl w:val="0"/>
        </w:rPr>
        <w:t xml:space="preserve">To</w:t>
      </w:r>
      <w:r w:rsidDel="00000000" w:rsidR="00000000" w:rsidRPr="00000000">
        <w:rPr>
          <w:rFonts w:ascii="ABeeZee" w:cs="ABeeZee" w:eastAsia="ABeeZee" w:hAnsi="ABeeZee"/>
          <w:b w:val="1"/>
          <w:color w:val="414042"/>
          <w:sz w:val="24"/>
          <w:szCs w:val="24"/>
          <w:highlight w:val="white"/>
          <w:u w:val="single"/>
          <w:rtl w:val="0"/>
        </w:rPr>
        <w:t xml:space="preserve"> or </w:t>
      </w:r>
      <w:r w:rsidDel="00000000" w:rsidR="00000000" w:rsidRPr="00000000">
        <w:rPr>
          <w:rFonts w:ascii="ABeeZee" w:cs="ABeeZee" w:eastAsia="ABeeZee" w:hAnsi="ABeeZee"/>
          <w:b w:val="1"/>
          <w:i w:val="1"/>
          <w:color w:val="414042"/>
          <w:sz w:val="24"/>
          <w:szCs w:val="24"/>
          <w:highlight w:val="white"/>
          <w:u w:val="single"/>
          <w:rtl w:val="0"/>
        </w:rPr>
        <w:t xml:space="preserve">For:</w:t>
      </w:r>
      <w:r w:rsidDel="00000000" w:rsidR="00000000" w:rsidRPr="00000000">
        <w:rPr>
          <w:rFonts w:ascii="ABeeZee" w:cs="ABeeZee" w:eastAsia="ABeeZee" w:hAnsi="ABeeZee"/>
          <w:color w:val="414042"/>
          <w:sz w:val="24"/>
          <w:szCs w:val="24"/>
          <w:highlight w:val="white"/>
          <w:rtl w:val="0"/>
        </w:rPr>
        <w:t xml:space="preserve"> Community solutions cannot be resolved through one-way, transactional giving, but through transformative </w:t>
      </w:r>
      <w:r w:rsidDel="00000000" w:rsidR="00000000" w:rsidRPr="00000000">
        <w:rPr>
          <w:rFonts w:ascii="ABeeZee" w:cs="ABeeZee" w:eastAsia="ABeeZee" w:hAnsi="ABeeZee"/>
          <w:i w:val="1"/>
          <w:color w:val="414042"/>
          <w:sz w:val="24"/>
          <w:szCs w:val="24"/>
          <w:highlight w:val="white"/>
          <w:rtl w:val="0"/>
        </w:rPr>
        <w:t xml:space="preserve">relationships </w:t>
      </w:r>
      <w:r w:rsidDel="00000000" w:rsidR="00000000" w:rsidRPr="00000000">
        <w:rPr>
          <w:rFonts w:ascii="ABeeZee" w:cs="ABeeZee" w:eastAsia="ABeeZee" w:hAnsi="ABeeZee"/>
          <w:color w:val="414042"/>
          <w:sz w:val="24"/>
          <w:szCs w:val="24"/>
          <w:highlight w:val="white"/>
          <w:rtl w:val="0"/>
        </w:rPr>
        <w:t xml:space="preserve">that partner with families.</w:t>
      </w:r>
    </w:p>
    <w:p w:rsidR="00000000" w:rsidDel="00000000" w:rsidP="00000000" w:rsidRDefault="00000000" w:rsidRPr="00000000" w14:paraId="0000000E">
      <w:pPr>
        <w:pageBreakBefore w:val="0"/>
        <w:widowControl w:val="0"/>
        <w:numPr>
          <w:ilvl w:val="0"/>
          <w:numId w:val="1"/>
        </w:numPr>
        <w:ind w:left="720" w:hanging="360"/>
        <w:rPr>
          <w:rFonts w:ascii="Nunito" w:cs="Nunito" w:eastAsia="Nunito" w:hAnsi="Nunito"/>
          <w:color w:val="414042"/>
          <w:sz w:val="24"/>
          <w:szCs w:val="24"/>
          <w:highlight w:val="white"/>
        </w:rPr>
      </w:pPr>
      <w:r w:rsidDel="00000000" w:rsidR="00000000" w:rsidRPr="00000000">
        <w:rPr>
          <w:rFonts w:ascii="ABeeZee" w:cs="ABeeZee" w:eastAsia="ABeeZee" w:hAnsi="ABeeZee"/>
          <w:b w:val="1"/>
          <w:color w:val="414042"/>
          <w:sz w:val="24"/>
          <w:szCs w:val="24"/>
          <w:highlight w:val="white"/>
          <w:u w:val="single"/>
          <w:rtl w:val="0"/>
        </w:rPr>
        <w:t xml:space="preserve">Understand and Value Families: </w:t>
      </w:r>
      <w:r w:rsidDel="00000000" w:rsidR="00000000" w:rsidRPr="00000000">
        <w:rPr>
          <w:rFonts w:ascii="ABeeZee" w:cs="ABeeZee" w:eastAsia="ABeeZee" w:hAnsi="ABeeZee"/>
          <w:color w:val="414042"/>
          <w:sz w:val="24"/>
          <w:szCs w:val="24"/>
          <w:highlight w:val="white"/>
          <w:rtl w:val="0"/>
        </w:rPr>
        <w:t xml:space="preserve"> Educators believe that a family’s cultural practices and beliefs are important, the family has strengths, they care for their child and they have expert knowledge about their child. All are welcome, but all are also included and </w:t>
      </w:r>
      <w:r w:rsidDel="00000000" w:rsidR="00000000" w:rsidRPr="00000000">
        <w:rPr>
          <w:rFonts w:ascii="ABeeZee" w:cs="ABeeZee" w:eastAsia="ABeeZee" w:hAnsi="ABeeZee"/>
          <w:i w:val="1"/>
          <w:color w:val="414042"/>
          <w:sz w:val="24"/>
          <w:szCs w:val="24"/>
          <w:highlight w:val="white"/>
          <w:rtl w:val="0"/>
        </w:rPr>
        <w:t xml:space="preserve">belong</w:t>
      </w:r>
      <w:r w:rsidDel="00000000" w:rsidR="00000000" w:rsidRPr="00000000">
        <w:rPr>
          <w:rFonts w:ascii="ABeeZee" w:cs="ABeeZee" w:eastAsia="ABeeZee" w:hAnsi="ABeeZee"/>
          <w:color w:val="414042"/>
          <w:sz w:val="24"/>
          <w:szCs w:val="24"/>
          <w:highlight w:val="white"/>
          <w:rtl w:val="0"/>
        </w:rPr>
        <w:t xml:space="preserve">.</w:t>
      </w:r>
    </w:p>
    <w:p w:rsidR="00000000" w:rsidDel="00000000" w:rsidP="00000000" w:rsidRDefault="00000000" w:rsidRPr="00000000" w14:paraId="0000000F">
      <w:pPr>
        <w:pageBreakBefore w:val="0"/>
        <w:widowControl w:val="0"/>
        <w:numPr>
          <w:ilvl w:val="0"/>
          <w:numId w:val="1"/>
        </w:numPr>
        <w:ind w:left="720" w:hanging="360"/>
        <w:rPr>
          <w:rFonts w:ascii="ABeeZee" w:cs="ABeeZee" w:eastAsia="ABeeZee" w:hAnsi="ABeeZee"/>
          <w:color w:val="414042"/>
          <w:sz w:val="24"/>
          <w:szCs w:val="24"/>
          <w:highlight w:val="white"/>
        </w:rPr>
      </w:pPr>
      <w:r w:rsidDel="00000000" w:rsidR="00000000" w:rsidRPr="00000000">
        <w:rPr>
          <w:rFonts w:ascii="ABeeZee" w:cs="ABeeZee" w:eastAsia="ABeeZee" w:hAnsi="ABeeZee"/>
          <w:b w:val="1"/>
          <w:color w:val="414042"/>
          <w:sz w:val="24"/>
          <w:szCs w:val="24"/>
          <w:highlight w:val="white"/>
          <w:u w:val="single"/>
          <w:rtl w:val="0"/>
        </w:rPr>
        <w:t xml:space="preserve">Communicate without Barriers:</w:t>
      </w:r>
      <w:r w:rsidDel="00000000" w:rsidR="00000000" w:rsidRPr="00000000">
        <w:rPr>
          <w:rFonts w:ascii="ABeeZee" w:cs="ABeeZee" w:eastAsia="ABeeZee" w:hAnsi="ABeeZee"/>
          <w:color w:val="414042"/>
          <w:sz w:val="24"/>
          <w:szCs w:val="24"/>
          <w:highlight w:val="white"/>
          <w:rtl w:val="0"/>
        </w:rPr>
        <w:t xml:space="preserve"> Communicate in a way that is non-threatening, understandable, and ongoing. Families </w:t>
      </w:r>
      <w:r w:rsidDel="00000000" w:rsidR="00000000" w:rsidRPr="00000000">
        <w:rPr>
          <w:rFonts w:ascii="ABeeZee" w:cs="ABeeZee" w:eastAsia="ABeeZee" w:hAnsi="ABeeZee"/>
          <w:color w:val="414042"/>
          <w:sz w:val="24"/>
          <w:szCs w:val="24"/>
          <w:highlight w:val="white"/>
          <w:u w:val="single"/>
          <w:rtl w:val="0"/>
        </w:rPr>
        <w:t xml:space="preserve">do desire</w:t>
      </w:r>
      <w:r w:rsidDel="00000000" w:rsidR="00000000" w:rsidRPr="00000000">
        <w:rPr>
          <w:rFonts w:ascii="ABeeZee" w:cs="ABeeZee" w:eastAsia="ABeeZee" w:hAnsi="ABeeZee"/>
          <w:color w:val="414042"/>
          <w:sz w:val="24"/>
          <w:szCs w:val="24"/>
          <w:highlight w:val="white"/>
          <w:rtl w:val="0"/>
        </w:rPr>
        <w:t xml:space="preserve"> to support their children’s learning, but are sometimes intimidated. Focus on the need to create the conditions that promote engagement rather than an individual’s responsibility to engage.</w:t>
      </w:r>
    </w:p>
    <w:p w:rsidR="00000000" w:rsidDel="00000000" w:rsidP="00000000" w:rsidRDefault="00000000" w:rsidRPr="00000000" w14:paraId="00000010">
      <w:pPr>
        <w:pageBreakBefore w:val="0"/>
        <w:widowControl w:val="0"/>
        <w:numPr>
          <w:ilvl w:val="0"/>
          <w:numId w:val="1"/>
        </w:numPr>
        <w:ind w:left="720" w:hanging="360"/>
        <w:rPr>
          <w:rFonts w:ascii="Nunito" w:cs="Nunito" w:eastAsia="Nunito" w:hAnsi="Nunito"/>
          <w:color w:val="414042"/>
          <w:sz w:val="24"/>
          <w:szCs w:val="24"/>
          <w:highlight w:val="white"/>
        </w:rPr>
      </w:pPr>
      <w:r w:rsidDel="00000000" w:rsidR="00000000" w:rsidRPr="00000000">
        <w:rPr>
          <w:rFonts w:ascii="ABeeZee" w:cs="ABeeZee" w:eastAsia="ABeeZee" w:hAnsi="ABeeZee"/>
          <w:b w:val="1"/>
          <w:color w:val="414042"/>
          <w:sz w:val="24"/>
          <w:szCs w:val="24"/>
          <w:highlight w:val="white"/>
          <w:u w:val="single"/>
          <w:rtl w:val="0"/>
        </w:rPr>
        <w:t xml:space="preserve">Link to Learning:</w:t>
      </w:r>
      <w:r w:rsidDel="00000000" w:rsidR="00000000" w:rsidRPr="00000000">
        <w:rPr>
          <w:rFonts w:ascii="ABeeZee" w:cs="ABeeZee" w:eastAsia="ABeeZee" w:hAnsi="ABeeZee"/>
          <w:b w:val="1"/>
          <w:color w:val="414042"/>
          <w:sz w:val="24"/>
          <w:szCs w:val="24"/>
          <w:highlight w:val="white"/>
          <w:rtl w:val="0"/>
        </w:rPr>
        <w:t xml:space="preserve"> </w:t>
      </w:r>
      <w:r w:rsidDel="00000000" w:rsidR="00000000" w:rsidRPr="00000000">
        <w:rPr>
          <w:rFonts w:ascii="ABeeZee" w:cs="ABeeZee" w:eastAsia="ABeeZee" w:hAnsi="ABeeZee"/>
          <w:color w:val="414042"/>
          <w:sz w:val="24"/>
          <w:szCs w:val="24"/>
          <w:highlight w:val="white"/>
          <w:rtl w:val="0"/>
        </w:rPr>
        <w:t xml:space="preserve">Each communication and event should provide families with a better understanding of how they can support their child’s positive behavior and learning.Engagement launches children’s learning, everyone has an important role, and teamwork and consistent communication are key to the mission.</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li">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eeZee">
    <w:embedRegular w:fontKey="{00000000-0000-0000-0000-000000000000}" r:id="rId9" w:subsetted="0"/>
    <w:embe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rPr/>
    </w:pPr>
    <w:r w:rsidDel="00000000" w:rsidR="00000000" w:rsidRPr="00000000">
      <w:rPr>
        <w:rtl w:val="0"/>
      </w:rPr>
      <w:t xml:space="preserve">Feb. 2021</w:t>
    </w:r>
  </w:p>
  <w:p w:rsidR="00000000" w:rsidDel="00000000" w:rsidP="00000000" w:rsidRDefault="00000000" w:rsidRPr="00000000" w14:paraId="00000012">
    <w:pPr>
      <w:pageBreakBefore w:val="0"/>
      <w:rPr/>
    </w:pPr>
    <w:r w:rsidDel="00000000" w:rsidR="00000000" w:rsidRPr="00000000">
      <w:rPr>
        <w:rtl w:val="0"/>
      </w:rPr>
      <w:t xml:space="preserve">DEI Goal 2 Task Force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BeeZee" w:cs="ABeeZee" w:eastAsia="ABeeZee" w:hAnsi="ABeeZee"/>
        <w:b w:val="0"/>
        <w:i w:val="0"/>
        <w:smallCaps w:val="0"/>
        <w:strike w:val="0"/>
        <w:color w:val="6d9eeb"/>
        <w:sz w:val="48"/>
        <w:szCs w:val="48"/>
        <w:u w:val="none"/>
        <w:shd w:fill="auto" w:val="clear"/>
        <w:vertAlign w:val="baseline"/>
      </w:rPr>
    </w:lvl>
    <w:lvl w:ilvl="1">
      <w:start w:val="1"/>
      <w:numFmt w:val="bullet"/>
      <w:lvlText w:val="○"/>
      <w:lvlJc w:val="right"/>
      <w:pPr>
        <w:ind w:left="1440" w:hanging="360"/>
      </w:pPr>
      <w:rPr>
        <w:rFonts w:ascii="ABeeZee" w:cs="ABeeZee" w:eastAsia="ABeeZee" w:hAnsi="ABeeZee"/>
        <w:b w:val="0"/>
        <w:i w:val="0"/>
        <w:smallCaps w:val="0"/>
        <w:strike w:val="0"/>
        <w:color w:val="6d9eeb"/>
        <w:sz w:val="48"/>
        <w:szCs w:val="48"/>
        <w:u w:val="none"/>
        <w:shd w:fill="auto" w:val="clear"/>
        <w:vertAlign w:val="baseline"/>
      </w:rPr>
    </w:lvl>
    <w:lvl w:ilvl="2">
      <w:start w:val="1"/>
      <w:numFmt w:val="bullet"/>
      <w:lvlText w:val="■"/>
      <w:lvlJc w:val="right"/>
      <w:pPr>
        <w:ind w:left="2160" w:hanging="360"/>
      </w:pPr>
      <w:rPr>
        <w:rFonts w:ascii="ABeeZee" w:cs="ABeeZee" w:eastAsia="ABeeZee" w:hAnsi="ABeeZee"/>
        <w:b w:val="0"/>
        <w:i w:val="0"/>
        <w:smallCaps w:val="0"/>
        <w:strike w:val="0"/>
        <w:color w:val="6d9eeb"/>
        <w:sz w:val="48"/>
        <w:szCs w:val="48"/>
        <w:u w:val="none"/>
        <w:shd w:fill="auto" w:val="clear"/>
        <w:vertAlign w:val="baseline"/>
      </w:rPr>
    </w:lvl>
    <w:lvl w:ilvl="3">
      <w:start w:val="1"/>
      <w:numFmt w:val="bullet"/>
      <w:lvlText w:val="●"/>
      <w:lvlJc w:val="right"/>
      <w:pPr>
        <w:ind w:left="2880" w:hanging="360"/>
      </w:pPr>
      <w:rPr>
        <w:rFonts w:ascii="ABeeZee" w:cs="ABeeZee" w:eastAsia="ABeeZee" w:hAnsi="ABeeZee"/>
        <w:b w:val="0"/>
        <w:i w:val="0"/>
        <w:smallCaps w:val="0"/>
        <w:strike w:val="0"/>
        <w:color w:val="474f67"/>
        <w:sz w:val="48"/>
        <w:szCs w:val="48"/>
        <w:u w:val="none"/>
        <w:shd w:fill="auto" w:val="clear"/>
        <w:vertAlign w:val="baseline"/>
      </w:rPr>
    </w:lvl>
    <w:lvl w:ilvl="4">
      <w:start w:val="1"/>
      <w:numFmt w:val="bullet"/>
      <w:lvlText w:val="○"/>
      <w:lvlJc w:val="right"/>
      <w:pPr>
        <w:ind w:left="3600" w:hanging="360"/>
      </w:pPr>
      <w:rPr>
        <w:rFonts w:ascii="ABeeZee" w:cs="ABeeZee" w:eastAsia="ABeeZee" w:hAnsi="ABeeZee"/>
        <w:b w:val="0"/>
        <w:i w:val="0"/>
        <w:smallCaps w:val="0"/>
        <w:strike w:val="0"/>
        <w:color w:val="474f67"/>
        <w:sz w:val="48"/>
        <w:szCs w:val="48"/>
        <w:u w:val="none"/>
        <w:shd w:fill="auto" w:val="clear"/>
        <w:vertAlign w:val="baseline"/>
      </w:rPr>
    </w:lvl>
    <w:lvl w:ilvl="5">
      <w:start w:val="1"/>
      <w:numFmt w:val="bullet"/>
      <w:lvlText w:val="■"/>
      <w:lvlJc w:val="right"/>
      <w:pPr>
        <w:ind w:left="4320" w:hanging="360"/>
      </w:pPr>
      <w:rPr>
        <w:rFonts w:ascii="ABeeZee" w:cs="ABeeZee" w:eastAsia="ABeeZee" w:hAnsi="ABeeZee"/>
        <w:b w:val="0"/>
        <w:i w:val="0"/>
        <w:smallCaps w:val="0"/>
        <w:strike w:val="0"/>
        <w:color w:val="474f67"/>
        <w:sz w:val="48"/>
        <w:szCs w:val="48"/>
        <w:u w:val="none"/>
        <w:shd w:fill="auto" w:val="clear"/>
        <w:vertAlign w:val="baseline"/>
      </w:rPr>
    </w:lvl>
    <w:lvl w:ilvl="6">
      <w:start w:val="1"/>
      <w:numFmt w:val="bullet"/>
      <w:lvlText w:val="●"/>
      <w:lvlJc w:val="right"/>
      <w:pPr>
        <w:ind w:left="5040" w:hanging="360"/>
      </w:pPr>
      <w:rPr>
        <w:rFonts w:ascii="ABeeZee" w:cs="ABeeZee" w:eastAsia="ABeeZee" w:hAnsi="ABeeZee"/>
        <w:b w:val="0"/>
        <w:i w:val="0"/>
        <w:smallCaps w:val="0"/>
        <w:strike w:val="0"/>
        <w:color w:val="474f67"/>
        <w:sz w:val="48"/>
        <w:szCs w:val="48"/>
        <w:u w:val="none"/>
        <w:shd w:fill="auto" w:val="clear"/>
        <w:vertAlign w:val="baseline"/>
      </w:rPr>
    </w:lvl>
    <w:lvl w:ilvl="7">
      <w:start w:val="1"/>
      <w:numFmt w:val="bullet"/>
      <w:lvlText w:val="○"/>
      <w:lvlJc w:val="right"/>
      <w:pPr>
        <w:ind w:left="5760" w:hanging="360"/>
      </w:pPr>
      <w:rPr>
        <w:rFonts w:ascii="ABeeZee" w:cs="ABeeZee" w:eastAsia="ABeeZee" w:hAnsi="ABeeZee"/>
        <w:b w:val="0"/>
        <w:i w:val="0"/>
        <w:smallCaps w:val="0"/>
        <w:strike w:val="0"/>
        <w:color w:val="474f67"/>
        <w:sz w:val="48"/>
        <w:szCs w:val="48"/>
        <w:u w:val="none"/>
        <w:shd w:fill="auto" w:val="clear"/>
        <w:vertAlign w:val="baseline"/>
      </w:rPr>
    </w:lvl>
    <w:lvl w:ilvl="8">
      <w:start w:val="1"/>
      <w:numFmt w:val="bullet"/>
      <w:lvlText w:val="■"/>
      <w:lvlJc w:val="right"/>
      <w:pPr>
        <w:ind w:left="6480" w:hanging="360"/>
      </w:pPr>
      <w:rPr>
        <w:rFonts w:ascii="ABeeZee" w:cs="ABeeZee" w:eastAsia="ABeeZee" w:hAnsi="ABeeZee"/>
        <w:b w:val="0"/>
        <w:i w:val="0"/>
        <w:smallCaps w:val="0"/>
        <w:strike w:val="0"/>
        <w:color w:val="474f67"/>
        <w:sz w:val="48"/>
        <w:szCs w:val="4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ABeeZee-italic.ttf"/><Relationship Id="rId9" Type="http://schemas.openxmlformats.org/officeDocument/2006/relationships/font" Target="fonts/ABeeZee-regular.ttf"/><Relationship Id="rId5" Type="http://schemas.openxmlformats.org/officeDocument/2006/relationships/font" Target="fonts/Mali-regular.ttf"/><Relationship Id="rId6" Type="http://schemas.openxmlformats.org/officeDocument/2006/relationships/font" Target="fonts/Mali-bold.ttf"/><Relationship Id="rId7" Type="http://schemas.openxmlformats.org/officeDocument/2006/relationships/font" Target="fonts/Mali-italic.ttf"/><Relationship Id="rId8" Type="http://schemas.openxmlformats.org/officeDocument/2006/relationships/font" Target="fonts/Mal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0A985-229C-4A74-B0DE-14261CD8B612}"/>
</file>

<file path=customXml/itemProps2.xml><?xml version="1.0" encoding="utf-8"?>
<ds:datastoreItem xmlns:ds="http://schemas.openxmlformats.org/officeDocument/2006/customXml" ds:itemID="{EC2E4891-470A-445B-B693-E634CF2FB2DD}"/>
</file>