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6D" w:rsidRDefault="007871DD" w:rsidP="007871DD">
      <w:pPr>
        <w:jc w:val="center"/>
        <w:rPr>
          <w:b/>
          <w:sz w:val="28"/>
        </w:rPr>
      </w:pPr>
      <w:r w:rsidRPr="007871DD">
        <w:rPr>
          <w:b/>
          <w:sz w:val="28"/>
        </w:rPr>
        <w:t>Observer’s Notes</w:t>
      </w:r>
    </w:p>
    <w:p w:rsidR="00D95EEE" w:rsidRPr="007871DD" w:rsidRDefault="00D95EEE" w:rsidP="007871DD">
      <w:pPr>
        <w:jc w:val="center"/>
        <w:rPr>
          <w:b/>
          <w:sz w:val="28"/>
        </w:rPr>
      </w:pPr>
      <w:r>
        <w:rPr>
          <w:b/>
          <w:sz w:val="28"/>
        </w:rPr>
        <w:t>3 minutes speaking/listening, 1 minute debrief</w:t>
      </w:r>
    </w:p>
    <w:tbl>
      <w:tblPr>
        <w:tblStyle w:val="TableGrid"/>
        <w:tblW w:w="10260" w:type="dxa"/>
        <w:tblInd w:w="-725" w:type="dxa"/>
        <w:tblLook w:val="04A0" w:firstRow="1" w:lastRow="0" w:firstColumn="1" w:lastColumn="0" w:noHBand="0" w:noVBand="1"/>
      </w:tblPr>
      <w:tblGrid>
        <w:gridCol w:w="3505"/>
        <w:gridCol w:w="6755"/>
      </w:tblGrid>
      <w:tr w:rsidR="007871DD" w:rsidTr="00D95EEE">
        <w:tc>
          <w:tcPr>
            <w:tcW w:w="3505" w:type="dxa"/>
            <w:shd w:val="clear" w:color="auto" w:fill="D9D9D9" w:themeFill="background1" w:themeFillShade="D9"/>
          </w:tcPr>
          <w:p w:rsidR="007871DD" w:rsidRPr="007871DD" w:rsidRDefault="007871DD" w:rsidP="007871DD">
            <w:pPr>
              <w:rPr>
                <w:b/>
                <w:sz w:val="28"/>
              </w:rPr>
            </w:pPr>
            <w:r w:rsidRPr="007871DD">
              <w:rPr>
                <w:b/>
                <w:sz w:val="28"/>
              </w:rPr>
              <w:t>What do you see and hear?</w:t>
            </w:r>
          </w:p>
        </w:tc>
        <w:tc>
          <w:tcPr>
            <w:tcW w:w="6755" w:type="dxa"/>
            <w:shd w:val="clear" w:color="auto" w:fill="D9D9D9" w:themeFill="background1" w:themeFillShade="D9"/>
          </w:tcPr>
          <w:p w:rsidR="007871DD" w:rsidRPr="007871DD" w:rsidRDefault="007871DD" w:rsidP="007871DD">
            <w:pPr>
              <w:jc w:val="center"/>
              <w:rPr>
                <w:b/>
              </w:rPr>
            </w:pPr>
            <w:r w:rsidRPr="007871DD">
              <w:rPr>
                <w:b/>
                <w:sz w:val="28"/>
              </w:rPr>
              <w:t>Notes</w:t>
            </w:r>
          </w:p>
        </w:tc>
      </w:tr>
      <w:tr w:rsidR="007871DD" w:rsidTr="007871DD">
        <w:tc>
          <w:tcPr>
            <w:tcW w:w="3505" w:type="dxa"/>
            <w:vAlign w:val="center"/>
          </w:tcPr>
          <w:p w:rsidR="007871DD" w:rsidRPr="007871DD" w:rsidRDefault="007871DD" w:rsidP="007871DD">
            <w:pPr>
              <w:rPr>
                <w:sz w:val="28"/>
              </w:rPr>
            </w:pPr>
            <w:r>
              <w:rPr>
                <w:sz w:val="28"/>
              </w:rPr>
              <w:t>Opening statement to w</w:t>
            </w:r>
            <w:r w:rsidRPr="007871DD">
              <w:rPr>
                <w:sz w:val="28"/>
              </w:rPr>
              <w:t>elcom</w:t>
            </w:r>
            <w:r>
              <w:rPr>
                <w:sz w:val="28"/>
              </w:rPr>
              <w:t>e</w:t>
            </w:r>
            <w:r w:rsidRPr="007871DD">
              <w:rPr>
                <w:sz w:val="28"/>
              </w:rPr>
              <w:t xml:space="preserve"> the conversation</w:t>
            </w:r>
          </w:p>
        </w:tc>
        <w:tc>
          <w:tcPr>
            <w:tcW w:w="6755" w:type="dxa"/>
          </w:tcPr>
          <w:p w:rsidR="007871DD" w:rsidRDefault="007871DD" w:rsidP="007871DD"/>
        </w:tc>
      </w:tr>
      <w:tr w:rsidR="007871DD" w:rsidTr="007871DD">
        <w:tc>
          <w:tcPr>
            <w:tcW w:w="3505" w:type="dxa"/>
            <w:vAlign w:val="center"/>
          </w:tcPr>
          <w:p w:rsidR="007871DD" w:rsidRPr="007871DD" w:rsidRDefault="007871DD" w:rsidP="007871DD">
            <w:pPr>
              <w:rPr>
                <w:sz w:val="28"/>
              </w:rPr>
            </w:pPr>
            <w:r w:rsidRPr="007871DD">
              <w:rPr>
                <w:b/>
                <w:sz w:val="28"/>
              </w:rPr>
              <w:t>P</w:t>
            </w:r>
            <w:r w:rsidRPr="007871DD">
              <w:rPr>
                <w:sz w:val="28"/>
              </w:rPr>
              <w:t>ausing for active listening</w:t>
            </w:r>
          </w:p>
        </w:tc>
        <w:tc>
          <w:tcPr>
            <w:tcW w:w="6755" w:type="dxa"/>
          </w:tcPr>
          <w:p w:rsidR="007871DD" w:rsidRDefault="007871DD" w:rsidP="007871DD"/>
          <w:p w:rsidR="007871DD" w:rsidRDefault="007871DD" w:rsidP="007871DD"/>
        </w:tc>
      </w:tr>
      <w:tr w:rsidR="007871DD" w:rsidTr="007871DD">
        <w:tc>
          <w:tcPr>
            <w:tcW w:w="3505" w:type="dxa"/>
            <w:vAlign w:val="center"/>
          </w:tcPr>
          <w:p w:rsidR="007871DD" w:rsidRPr="007871DD" w:rsidRDefault="007871DD" w:rsidP="007871DD">
            <w:pPr>
              <w:rPr>
                <w:sz w:val="28"/>
              </w:rPr>
            </w:pPr>
            <w:r w:rsidRPr="007871DD">
              <w:rPr>
                <w:b/>
                <w:sz w:val="28"/>
              </w:rPr>
              <w:t>P</w:t>
            </w:r>
            <w:r w:rsidRPr="007871DD">
              <w:rPr>
                <w:sz w:val="28"/>
              </w:rPr>
              <w:t>araphrasing to check understanding</w:t>
            </w:r>
          </w:p>
        </w:tc>
        <w:tc>
          <w:tcPr>
            <w:tcW w:w="6755" w:type="dxa"/>
          </w:tcPr>
          <w:p w:rsidR="007871DD" w:rsidRDefault="007871DD" w:rsidP="007871DD"/>
        </w:tc>
      </w:tr>
      <w:tr w:rsidR="007871DD" w:rsidTr="007871DD">
        <w:tc>
          <w:tcPr>
            <w:tcW w:w="3505" w:type="dxa"/>
            <w:vAlign w:val="center"/>
          </w:tcPr>
          <w:p w:rsidR="007871DD" w:rsidRPr="007871DD" w:rsidRDefault="007871DD" w:rsidP="007871DD">
            <w:pPr>
              <w:rPr>
                <w:sz w:val="28"/>
              </w:rPr>
            </w:pPr>
            <w:r w:rsidRPr="007871DD">
              <w:rPr>
                <w:b/>
                <w:sz w:val="28"/>
              </w:rPr>
              <w:t>P</w:t>
            </w:r>
            <w:r>
              <w:rPr>
                <w:sz w:val="28"/>
              </w:rPr>
              <w:t>resuming</w:t>
            </w:r>
            <w:r w:rsidRPr="007871DD">
              <w:rPr>
                <w:sz w:val="28"/>
              </w:rPr>
              <w:t xml:space="preserve"> positive intent to model acceptance</w:t>
            </w:r>
          </w:p>
        </w:tc>
        <w:tc>
          <w:tcPr>
            <w:tcW w:w="6755" w:type="dxa"/>
          </w:tcPr>
          <w:p w:rsidR="007871DD" w:rsidRDefault="007871DD" w:rsidP="007871DD"/>
        </w:tc>
      </w:tr>
      <w:tr w:rsidR="007871DD" w:rsidTr="007871DD">
        <w:tc>
          <w:tcPr>
            <w:tcW w:w="3505" w:type="dxa"/>
            <w:vAlign w:val="center"/>
          </w:tcPr>
          <w:p w:rsidR="007871DD" w:rsidRPr="007871DD" w:rsidRDefault="007871DD" w:rsidP="007871DD">
            <w:pPr>
              <w:rPr>
                <w:sz w:val="28"/>
              </w:rPr>
            </w:pPr>
            <w:r w:rsidRPr="007871DD">
              <w:rPr>
                <w:b/>
                <w:sz w:val="28"/>
              </w:rPr>
              <w:t>P</w:t>
            </w:r>
            <w:r w:rsidRPr="007871DD">
              <w:rPr>
                <w:sz w:val="28"/>
              </w:rPr>
              <w:t>owerful questions:</w:t>
            </w:r>
          </w:p>
          <w:p w:rsidR="007871DD" w:rsidRPr="007871DD" w:rsidRDefault="007871DD" w:rsidP="007871D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proofErr w:type="gramStart"/>
            <w:r w:rsidRPr="007871DD">
              <w:rPr>
                <w:sz w:val="24"/>
              </w:rPr>
              <w:t>What’s</w:t>
            </w:r>
            <w:proofErr w:type="gramEnd"/>
            <w:r w:rsidRPr="007871DD">
              <w:rPr>
                <w:sz w:val="24"/>
              </w:rPr>
              <w:t xml:space="preserve"> working?</w:t>
            </w:r>
          </w:p>
          <w:p w:rsidR="007871DD" w:rsidRPr="007871DD" w:rsidRDefault="007871DD" w:rsidP="007871D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871DD">
              <w:rPr>
                <w:sz w:val="24"/>
              </w:rPr>
              <w:t>How do we know?</w:t>
            </w:r>
          </w:p>
          <w:p w:rsidR="007871DD" w:rsidRPr="007871DD" w:rsidRDefault="007871DD" w:rsidP="007871D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871DD">
              <w:rPr>
                <w:sz w:val="24"/>
              </w:rPr>
              <w:t xml:space="preserve">What </w:t>
            </w:r>
            <w:proofErr w:type="gramStart"/>
            <w:r w:rsidRPr="007871DD">
              <w:rPr>
                <w:sz w:val="24"/>
              </w:rPr>
              <w:t>isn’t</w:t>
            </w:r>
            <w:proofErr w:type="gramEnd"/>
            <w:r w:rsidRPr="007871DD">
              <w:rPr>
                <w:sz w:val="24"/>
              </w:rPr>
              <w:t xml:space="preserve"> working?</w:t>
            </w:r>
            <w:bookmarkStart w:id="0" w:name="_GoBack"/>
            <w:bookmarkEnd w:id="0"/>
          </w:p>
          <w:p w:rsidR="007871DD" w:rsidRPr="007871DD" w:rsidRDefault="007871DD" w:rsidP="007871D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871DD">
              <w:rPr>
                <w:sz w:val="24"/>
              </w:rPr>
              <w:t>How do we know?</w:t>
            </w:r>
          </w:p>
          <w:p w:rsidR="007871DD" w:rsidRPr="007871DD" w:rsidRDefault="007871DD" w:rsidP="007871D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7871DD">
              <w:rPr>
                <w:sz w:val="24"/>
              </w:rPr>
              <w:t>What are our next steps?</w:t>
            </w:r>
          </w:p>
        </w:tc>
        <w:tc>
          <w:tcPr>
            <w:tcW w:w="6755" w:type="dxa"/>
          </w:tcPr>
          <w:p w:rsidR="007871DD" w:rsidRDefault="007871DD" w:rsidP="007871DD"/>
        </w:tc>
      </w:tr>
      <w:tr w:rsidR="007871DD" w:rsidTr="00D95EEE">
        <w:trPr>
          <w:trHeight w:val="224"/>
        </w:trPr>
        <w:tc>
          <w:tcPr>
            <w:tcW w:w="3505" w:type="dxa"/>
            <w:vAlign w:val="center"/>
          </w:tcPr>
          <w:p w:rsidR="007871DD" w:rsidRPr="007871DD" w:rsidRDefault="007871DD" w:rsidP="00D95EEE">
            <w:pPr>
              <w:rPr>
                <w:sz w:val="28"/>
              </w:rPr>
            </w:pPr>
            <w:r w:rsidRPr="007871DD">
              <w:rPr>
                <w:sz w:val="28"/>
              </w:rPr>
              <w:t>Body Language</w:t>
            </w:r>
          </w:p>
        </w:tc>
        <w:tc>
          <w:tcPr>
            <w:tcW w:w="6755" w:type="dxa"/>
          </w:tcPr>
          <w:p w:rsidR="007871DD" w:rsidRDefault="007871DD" w:rsidP="00D95EEE"/>
          <w:p w:rsidR="00D95EEE" w:rsidRDefault="00D95EEE" w:rsidP="00D95EEE"/>
        </w:tc>
      </w:tr>
      <w:tr w:rsidR="007871DD" w:rsidTr="00D95EEE">
        <w:trPr>
          <w:trHeight w:val="656"/>
        </w:trPr>
        <w:tc>
          <w:tcPr>
            <w:tcW w:w="3505" w:type="dxa"/>
            <w:vAlign w:val="center"/>
          </w:tcPr>
          <w:p w:rsidR="007871DD" w:rsidRPr="007871DD" w:rsidRDefault="007871DD" w:rsidP="00D95EEE">
            <w:pPr>
              <w:rPr>
                <w:sz w:val="28"/>
              </w:rPr>
            </w:pPr>
            <w:r w:rsidRPr="007871DD">
              <w:rPr>
                <w:sz w:val="28"/>
              </w:rPr>
              <w:t>Encouragement</w:t>
            </w:r>
          </w:p>
        </w:tc>
        <w:tc>
          <w:tcPr>
            <w:tcW w:w="6755" w:type="dxa"/>
          </w:tcPr>
          <w:p w:rsidR="007871DD" w:rsidRDefault="007871DD" w:rsidP="00D95EEE"/>
          <w:p w:rsidR="007871DD" w:rsidRDefault="007871DD" w:rsidP="00D95EEE"/>
        </w:tc>
      </w:tr>
    </w:tbl>
    <w:p w:rsidR="00D95EEE" w:rsidRPr="00D95EEE" w:rsidRDefault="00D95EEE" w:rsidP="007871DD">
      <w:pPr>
        <w:jc w:val="center"/>
        <w:rPr>
          <w:b/>
          <w:sz w:val="44"/>
        </w:rPr>
      </w:pPr>
    </w:p>
    <w:p w:rsidR="00D95EEE" w:rsidRPr="00D95EEE" w:rsidRDefault="00D95EEE" w:rsidP="00D95EEE">
      <w:pPr>
        <w:spacing w:after="0"/>
        <w:rPr>
          <w:b/>
          <w:sz w:val="12"/>
        </w:rPr>
      </w:pPr>
    </w:p>
    <w:p w:rsidR="007871DD" w:rsidRDefault="007871DD" w:rsidP="007871DD">
      <w:pPr>
        <w:jc w:val="center"/>
        <w:rPr>
          <w:b/>
          <w:sz w:val="28"/>
        </w:rPr>
      </w:pPr>
      <w:r w:rsidRPr="007871DD">
        <w:rPr>
          <w:b/>
          <w:sz w:val="28"/>
        </w:rPr>
        <w:t>Observer’s Notes</w:t>
      </w:r>
    </w:p>
    <w:p w:rsidR="00D95EEE" w:rsidRPr="007871DD" w:rsidRDefault="00D95EEE" w:rsidP="00D95EEE">
      <w:pPr>
        <w:jc w:val="center"/>
        <w:rPr>
          <w:b/>
          <w:sz w:val="28"/>
        </w:rPr>
      </w:pPr>
      <w:r>
        <w:rPr>
          <w:b/>
          <w:sz w:val="28"/>
        </w:rPr>
        <w:t>3 minutes speaking/listening, 1 minute debrief</w:t>
      </w:r>
    </w:p>
    <w:tbl>
      <w:tblPr>
        <w:tblStyle w:val="TableGrid"/>
        <w:tblW w:w="10260" w:type="dxa"/>
        <w:tblInd w:w="-725" w:type="dxa"/>
        <w:tblLook w:val="04A0" w:firstRow="1" w:lastRow="0" w:firstColumn="1" w:lastColumn="0" w:noHBand="0" w:noVBand="1"/>
      </w:tblPr>
      <w:tblGrid>
        <w:gridCol w:w="3505"/>
        <w:gridCol w:w="6755"/>
      </w:tblGrid>
      <w:tr w:rsidR="007871DD" w:rsidTr="00D95EEE">
        <w:tc>
          <w:tcPr>
            <w:tcW w:w="3505" w:type="dxa"/>
            <w:shd w:val="clear" w:color="auto" w:fill="D9D9D9" w:themeFill="background1" w:themeFillShade="D9"/>
          </w:tcPr>
          <w:p w:rsidR="007871DD" w:rsidRPr="007871DD" w:rsidRDefault="007871DD" w:rsidP="00DE0D1F">
            <w:pPr>
              <w:rPr>
                <w:b/>
                <w:sz w:val="28"/>
              </w:rPr>
            </w:pPr>
            <w:r w:rsidRPr="007871DD">
              <w:rPr>
                <w:b/>
                <w:sz w:val="28"/>
              </w:rPr>
              <w:t>What do you see and hear?</w:t>
            </w:r>
          </w:p>
        </w:tc>
        <w:tc>
          <w:tcPr>
            <w:tcW w:w="6755" w:type="dxa"/>
            <w:shd w:val="clear" w:color="auto" w:fill="D9D9D9" w:themeFill="background1" w:themeFillShade="D9"/>
          </w:tcPr>
          <w:p w:rsidR="007871DD" w:rsidRPr="007871DD" w:rsidRDefault="007871DD" w:rsidP="00DE0D1F">
            <w:pPr>
              <w:jc w:val="center"/>
              <w:rPr>
                <w:b/>
              </w:rPr>
            </w:pPr>
            <w:r w:rsidRPr="007871DD">
              <w:rPr>
                <w:b/>
                <w:sz w:val="28"/>
              </w:rPr>
              <w:t>Notes</w:t>
            </w:r>
          </w:p>
        </w:tc>
      </w:tr>
      <w:tr w:rsidR="007871DD" w:rsidTr="007871DD">
        <w:tc>
          <w:tcPr>
            <w:tcW w:w="3505" w:type="dxa"/>
            <w:vAlign w:val="center"/>
          </w:tcPr>
          <w:p w:rsidR="007871DD" w:rsidRPr="007871DD" w:rsidRDefault="007871DD" w:rsidP="007871DD">
            <w:pPr>
              <w:rPr>
                <w:sz w:val="28"/>
              </w:rPr>
            </w:pPr>
            <w:r>
              <w:rPr>
                <w:sz w:val="28"/>
              </w:rPr>
              <w:t>Opening statement to w</w:t>
            </w:r>
            <w:r w:rsidRPr="007871DD">
              <w:rPr>
                <w:sz w:val="28"/>
              </w:rPr>
              <w:t>elcom</w:t>
            </w:r>
            <w:r>
              <w:rPr>
                <w:sz w:val="28"/>
              </w:rPr>
              <w:t>e</w:t>
            </w:r>
            <w:r w:rsidRPr="007871DD">
              <w:rPr>
                <w:sz w:val="28"/>
              </w:rPr>
              <w:t xml:space="preserve"> the conversation</w:t>
            </w:r>
          </w:p>
        </w:tc>
        <w:tc>
          <w:tcPr>
            <w:tcW w:w="6755" w:type="dxa"/>
          </w:tcPr>
          <w:p w:rsidR="007871DD" w:rsidRDefault="007871DD" w:rsidP="00DE0D1F"/>
        </w:tc>
      </w:tr>
      <w:tr w:rsidR="007871DD" w:rsidTr="007871DD">
        <w:tc>
          <w:tcPr>
            <w:tcW w:w="3505" w:type="dxa"/>
            <w:vAlign w:val="center"/>
          </w:tcPr>
          <w:p w:rsidR="007871DD" w:rsidRPr="007871DD" w:rsidRDefault="007871DD" w:rsidP="007871DD">
            <w:pPr>
              <w:rPr>
                <w:sz w:val="28"/>
              </w:rPr>
            </w:pPr>
            <w:r w:rsidRPr="007871DD">
              <w:rPr>
                <w:b/>
                <w:sz w:val="28"/>
              </w:rPr>
              <w:t>P</w:t>
            </w:r>
            <w:r w:rsidRPr="007871DD">
              <w:rPr>
                <w:sz w:val="28"/>
              </w:rPr>
              <w:t>ausing for active listening</w:t>
            </w:r>
          </w:p>
        </w:tc>
        <w:tc>
          <w:tcPr>
            <w:tcW w:w="6755" w:type="dxa"/>
          </w:tcPr>
          <w:p w:rsidR="007871DD" w:rsidRDefault="007871DD" w:rsidP="007871DD"/>
          <w:p w:rsidR="007871DD" w:rsidRDefault="007871DD" w:rsidP="007871DD"/>
        </w:tc>
      </w:tr>
      <w:tr w:rsidR="007871DD" w:rsidTr="007871DD">
        <w:tc>
          <w:tcPr>
            <w:tcW w:w="3505" w:type="dxa"/>
            <w:vAlign w:val="center"/>
          </w:tcPr>
          <w:p w:rsidR="007871DD" w:rsidRPr="007871DD" w:rsidRDefault="007871DD" w:rsidP="007871DD">
            <w:pPr>
              <w:rPr>
                <w:sz w:val="28"/>
              </w:rPr>
            </w:pPr>
            <w:r w:rsidRPr="007871DD">
              <w:rPr>
                <w:b/>
                <w:sz w:val="28"/>
              </w:rPr>
              <w:t>P</w:t>
            </w:r>
            <w:r w:rsidRPr="007871DD">
              <w:rPr>
                <w:sz w:val="28"/>
              </w:rPr>
              <w:t>araphrasing to check understanding</w:t>
            </w:r>
          </w:p>
        </w:tc>
        <w:tc>
          <w:tcPr>
            <w:tcW w:w="6755" w:type="dxa"/>
          </w:tcPr>
          <w:p w:rsidR="007871DD" w:rsidRDefault="007871DD" w:rsidP="007871DD"/>
        </w:tc>
      </w:tr>
      <w:tr w:rsidR="007871DD" w:rsidTr="007871DD">
        <w:tc>
          <w:tcPr>
            <w:tcW w:w="3505" w:type="dxa"/>
            <w:vAlign w:val="center"/>
          </w:tcPr>
          <w:p w:rsidR="007871DD" w:rsidRPr="007871DD" w:rsidRDefault="007871DD" w:rsidP="007871DD">
            <w:pPr>
              <w:rPr>
                <w:sz w:val="28"/>
              </w:rPr>
            </w:pPr>
            <w:r w:rsidRPr="007871DD">
              <w:rPr>
                <w:b/>
                <w:sz w:val="28"/>
              </w:rPr>
              <w:t>P</w:t>
            </w:r>
            <w:r>
              <w:rPr>
                <w:sz w:val="28"/>
              </w:rPr>
              <w:t>resuming</w:t>
            </w:r>
            <w:r w:rsidRPr="007871DD">
              <w:rPr>
                <w:sz w:val="28"/>
              </w:rPr>
              <w:t xml:space="preserve"> positive intent to model acceptance</w:t>
            </w:r>
          </w:p>
        </w:tc>
        <w:tc>
          <w:tcPr>
            <w:tcW w:w="6755" w:type="dxa"/>
          </w:tcPr>
          <w:p w:rsidR="007871DD" w:rsidRDefault="007871DD" w:rsidP="007871DD"/>
        </w:tc>
      </w:tr>
      <w:tr w:rsidR="007871DD" w:rsidTr="007871DD">
        <w:tc>
          <w:tcPr>
            <w:tcW w:w="3505" w:type="dxa"/>
            <w:vAlign w:val="center"/>
          </w:tcPr>
          <w:p w:rsidR="007871DD" w:rsidRPr="007871DD" w:rsidRDefault="007871DD" w:rsidP="007871DD">
            <w:pPr>
              <w:rPr>
                <w:sz w:val="28"/>
              </w:rPr>
            </w:pPr>
            <w:r w:rsidRPr="007871DD">
              <w:rPr>
                <w:b/>
                <w:sz w:val="28"/>
              </w:rPr>
              <w:t>P</w:t>
            </w:r>
            <w:r w:rsidRPr="007871DD">
              <w:rPr>
                <w:sz w:val="28"/>
              </w:rPr>
              <w:t>owerful questions:</w:t>
            </w:r>
          </w:p>
          <w:p w:rsidR="007871DD" w:rsidRPr="007871DD" w:rsidRDefault="007871DD" w:rsidP="0088638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proofErr w:type="gramStart"/>
            <w:r w:rsidRPr="007871DD">
              <w:rPr>
                <w:sz w:val="24"/>
              </w:rPr>
              <w:t>What’s</w:t>
            </w:r>
            <w:proofErr w:type="gramEnd"/>
            <w:r w:rsidRPr="007871DD">
              <w:rPr>
                <w:sz w:val="24"/>
              </w:rPr>
              <w:t xml:space="preserve"> working?</w:t>
            </w:r>
          </w:p>
          <w:p w:rsidR="007871DD" w:rsidRPr="007871DD" w:rsidRDefault="007871DD" w:rsidP="0088638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7871DD">
              <w:rPr>
                <w:sz w:val="24"/>
              </w:rPr>
              <w:t>How do we know?</w:t>
            </w:r>
          </w:p>
          <w:p w:rsidR="007871DD" w:rsidRPr="007871DD" w:rsidRDefault="007871DD" w:rsidP="0088638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7871DD">
              <w:rPr>
                <w:sz w:val="24"/>
              </w:rPr>
              <w:t xml:space="preserve">What </w:t>
            </w:r>
            <w:proofErr w:type="gramStart"/>
            <w:r w:rsidRPr="007871DD">
              <w:rPr>
                <w:sz w:val="24"/>
              </w:rPr>
              <w:t>isn’t</w:t>
            </w:r>
            <w:proofErr w:type="gramEnd"/>
            <w:r w:rsidRPr="007871DD">
              <w:rPr>
                <w:sz w:val="24"/>
              </w:rPr>
              <w:t xml:space="preserve"> working?</w:t>
            </w:r>
          </w:p>
          <w:p w:rsidR="007871DD" w:rsidRPr="007871DD" w:rsidRDefault="007871DD" w:rsidP="0088638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7871DD">
              <w:rPr>
                <w:sz w:val="24"/>
              </w:rPr>
              <w:t>How do we know?</w:t>
            </w:r>
          </w:p>
          <w:p w:rsidR="007871DD" w:rsidRPr="007871DD" w:rsidRDefault="007871DD" w:rsidP="0088638C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7871DD">
              <w:rPr>
                <w:sz w:val="24"/>
              </w:rPr>
              <w:t>What are our next steps?</w:t>
            </w:r>
          </w:p>
        </w:tc>
        <w:tc>
          <w:tcPr>
            <w:tcW w:w="6755" w:type="dxa"/>
          </w:tcPr>
          <w:p w:rsidR="007871DD" w:rsidRDefault="007871DD" w:rsidP="007871DD"/>
        </w:tc>
      </w:tr>
      <w:tr w:rsidR="007871DD" w:rsidTr="007871DD">
        <w:tc>
          <w:tcPr>
            <w:tcW w:w="3505" w:type="dxa"/>
            <w:vAlign w:val="center"/>
          </w:tcPr>
          <w:p w:rsidR="007871DD" w:rsidRPr="007871DD" w:rsidRDefault="007871DD" w:rsidP="007871DD">
            <w:pPr>
              <w:rPr>
                <w:sz w:val="28"/>
              </w:rPr>
            </w:pPr>
            <w:r w:rsidRPr="007871DD">
              <w:rPr>
                <w:sz w:val="28"/>
              </w:rPr>
              <w:t>Body Language</w:t>
            </w:r>
          </w:p>
        </w:tc>
        <w:tc>
          <w:tcPr>
            <w:tcW w:w="6755" w:type="dxa"/>
          </w:tcPr>
          <w:p w:rsidR="007871DD" w:rsidRDefault="007871DD" w:rsidP="00DE0D1F"/>
          <w:p w:rsidR="007871DD" w:rsidRDefault="007871DD" w:rsidP="00DE0D1F"/>
        </w:tc>
      </w:tr>
      <w:tr w:rsidR="007871DD" w:rsidTr="007871DD">
        <w:trPr>
          <w:trHeight w:val="90"/>
        </w:trPr>
        <w:tc>
          <w:tcPr>
            <w:tcW w:w="3505" w:type="dxa"/>
            <w:vAlign w:val="center"/>
          </w:tcPr>
          <w:p w:rsidR="007871DD" w:rsidRPr="007871DD" w:rsidRDefault="007871DD" w:rsidP="007871DD">
            <w:pPr>
              <w:rPr>
                <w:sz w:val="28"/>
              </w:rPr>
            </w:pPr>
            <w:r w:rsidRPr="007871DD">
              <w:rPr>
                <w:sz w:val="28"/>
              </w:rPr>
              <w:t>Encouragement</w:t>
            </w:r>
          </w:p>
        </w:tc>
        <w:tc>
          <w:tcPr>
            <w:tcW w:w="6755" w:type="dxa"/>
          </w:tcPr>
          <w:p w:rsidR="007871DD" w:rsidRDefault="007871DD" w:rsidP="00DE0D1F"/>
          <w:p w:rsidR="007871DD" w:rsidRDefault="007871DD" w:rsidP="00DE0D1F"/>
        </w:tc>
      </w:tr>
    </w:tbl>
    <w:p w:rsidR="007871DD" w:rsidRDefault="007871DD" w:rsidP="007871DD">
      <w:pPr>
        <w:jc w:val="center"/>
      </w:pPr>
    </w:p>
    <w:sectPr w:rsidR="007871DD" w:rsidSect="00D95EEE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B0A"/>
    <w:multiLevelType w:val="hybridMultilevel"/>
    <w:tmpl w:val="ADFABD8E"/>
    <w:lvl w:ilvl="0" w:tplc="875407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6360"/>
    <w:multiLevelType w:val="hybridMultilevel"/>
    <w:tmpl w:val="0C486C60"/>
    <w:lvl w:ilvl="0" w:tplc="02B2D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D2BC4"/>
    <w:multiLevelType w:val="hybridMultilevel"/>
    <w:tmpl w:val="7234A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DD"/>
    <w:rsid w:val="0011106D"/>
    <w:rsid w:val="007871DD"/>
    <w:rsid w:val="0088638C"/>
    <w:rsid w:val="00D9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43E68"/>
  <w15:chartTrackingRefBased/>
  <w15:docId w15:val="{258F68DB-D86E-4367-BA8F-B088B092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Ecology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Wellman, Meredith</dc:creator>
  <cp:keywords/>
  <dc:description/>
  <cp:lastModifiedBy>Wellman, Meredith</cp:lastModifiedBy>
  <cp:revision>3</cp:revision>
  <dcterms:created xsi:type="dcterms:W3CDTF">2019-03-04T16:43:00Z</dcterms:created>
  <dcterms:modified xsi:type="dcterms:W3CDTF">2019-03-04T16:56:00Z</dcterms:modified>
</cp:coreProperties>
</file>