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83" w:rsidRDefault="00DF7483" w:rsidP="00DF7483">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E9E2000" wp14:editId="633E636F">
                <wp:simplePos x="0" y="0"/>
                <wp:positionH relativeFrom="column">
                  <wp:posOffset>0</wp:posOffset>
                </wp:positionH>
                <wp:positionV relativeFrom="paragraph">
                  <wp:posOffset>-67310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F7483" w:rsidRDefault="00DF7483" w:rsidP="00DF748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9E2000" id="Group 9" o:spid="_x0000_s1026" style="position:absolute;left:0;text-align:left;margin-left:0;margin-top:-5.3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D1y7t8A&#10;AAAI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DF7483" w:rsidRDefault="00DF7483" w:rsidP="00DF748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DF7483" w:rsidRDefault="00DF7483" w:rsidP="00DF7483">
      <w:pPr>
        <w:spacing w:afterLines="200" w:after="480"/>
        <w:contextualSpacing/>
        <w:jc w:val="center"/>
        <w:rPr>
          <w:rFonts w:ascii="Arial" w:hAnsi="Arial" w:cs="Arial"/>
          <w:b/>
          <w:sz w:val="32"/>
          <w:szCs w:val="44"/>
        </w:rPr>
      </w:pPr>
    </w:p>
    <w:p w:rsidR="00DF7483" w:rsidRDefault="00DF7483" w:rsidP="00DF7483">
      <w:pPr>
        <w:spacing w:afterLines="200" w:after="480"/>
        <w:contextualSpacing/>
        <w:jc w:val="center"/>
        <w:rPr>
          <w:rFonts w:ascii="Arial" w:hAnsi="Arial" w:cs="Arial"/>
          <w:b/>
          <w:sz w:val="32"/>
          <w:szCs w:val="44"/>
        </w:rPr>
      </w:pPr>
      <w:r>
        <w:rPr>
          <w:rFonts w:ascii="Arial" w:hAnsi="Arial" w:cs="Arial"/>
          <w:b/>
          <w:sz w:val="32"/>
          <w:szCs w:val="44"/>
        </w:rPr>
        <w:t>Module 5: Advocacy and Collaboration with the Community</w:t>
      </w:r>
    </w:p>
    <w:p w:rsidR="00DF7483" w:rsidRDefault="00DF7483" w:rsidP="00DF7483">
      <w:pPr>
        <w:spacing w:afterLines="200" w:after="480"/>
        <w:contextualSpacing/>
        <w:jc w:val="center"/>
        <w:rPr>
          <w:rFonts w:ascii="Arial" w:hAnsi="Arial" w:cs="Arial"/>
          <w:b/>
          <w:sz w:val="32"/>
          <w:szCs w:val="44"/>
        </w:rPr>
      </w:pPr>
    </w:p>
    <w:p w:rsidR="00DF7483" w:rsidRDefault="00DF7483" w:rsidP="00DF7483">
      <w:pPr>
        <w:spacing w:afterLines="200" w:after="480"/>
        <w:contextualSpacing/>
        <w:jc w:val="center"/>
        <w:rPr>
          <w:rFonts w:ascii="Arial" w:hAnsi="Arial" w:cs="Arial"/>
          <w:b/>
          <w:sz w:val="32"/>
          <w:szCs w:val="44"/>
        </w:rPr>
      </w:pPr>
      <w:r>
        <w:rPr>
          <w:rFonts w:ascii="Arial" w:hAnsi="Arial" w:cs="Arial"/>
          <w:b/>
          <w:sz w:val="32"/>
          <w:szCs w:val="44"/>
        </w:rPr>
        <w:t>Collaborating with the Community</w:t>
      </w:r>
      <w:r>
        <w:rPr>
          <w:rFonts w:ascii="Arial" w:hAnsi="Arial" w:cs="Arial"/>
          <w:b/>
          <w:sz w:val="32"/>
          <w:szCs w:val="44"/>
        </w:rPr>
        <w:t xml:space="preserve"> Activities</w:t>
      </w:r>
    </w:p>
    <w:p w:rsidR="00B90555" w:rsidRDefault="00B90555" w:rsidP="00B90555">
      <w:pPr>
        <w:kinsoku w:val="0"/>
        <w:overflowPunct w:val="0"/>
        <w:autoSpaceDE w:val="0"/>
        <w:autoSpaceDN w:val="0"/>
        <w:adjustRightInd w:val="0"/>
        <w:spacing w:before="63" w:after="0" w:line="222" w:lineRule="auto"/>
        <w:ind w:left="760" w:right="70" w:hanging="720"/>
        <w:rPr>
          <w:rFonts w:ascii="Cambria" w:hAnsi="Cambria" w:cs="Arial"/>
          <w:sz w:val="28"/>
          <w:szCs w:val="28"/>
        </w:rPr>
      </w:pPr>
    </w:p>
    <w:p w:rsidR="00DF7483" w:rsidRDefault="00DF7483" w:rsidP="00DF7483">
      <w:pPr>
        <w:pStyle w:val="ListParagraph1"/>
        <w:numPr>
          <w:ilvl w:val="0"/>
          <w:numId w:val="3"/>
        </w:numPr>
        <w:kinsoku w:val="0"/>
        <w:overflowPunct w:val="0"/>
        <w:autoSpaceDE w:val="0"/>
        <w:autoSpaceDN w:val="0"/>
        <w:adjustRightInd w:val="0"/>
        <w:spacing w:after="100" w:afterAutospacing="1" w:line="222" w:lineRule="auto"/>
        <w:ind w:right="70"/>
        <w:rPr>
          <w:rFonts w:ascii="Arial" w:hAnsi="Arial" w:cs="Arial"/>
          <w:sz w:val="24"/>
          <w:szCs w:val="24"/>
        </w:rPr>
      </w:pPr>
      <w:r>
        <w:rPr>
          <w:rFonts w:ascii="Arial" w:hAnsi="Arial" w:cs="Arial"/>
          <w:sz w:val="24"/>
          <w:szCs w:val="24"/>
        </w:rPr>
        <w:t>C</w:t>
      </w:r>
      <w:r w:rsidR="00B90555" w:rsidRPr="00DF7483">
        <w:rPr>
          <w:rFonts w:ascii="Arial" w:hAnsi="Arial" w:cs="Arial"/>
          <w:sz w:val="24"/>
          <w:szCs w:val="24"/>
        </w:rPr>
        <w:t>onduct a survey of school families to know what services they need</w:t>
      </w:r>
    </w:p>
    <w:p w:rsidR="00DF7483" w:rsidRDefault="00B90555" w:rsidP="00DF7483">
      <w:pPr>
        <w:pStyle w:val="ListParagraph1"/>
        <w:numPr>
          <w:ilvl w:val="0"/>
          <w:numId w:val="3"/>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Check with community agency: to see if translators are available at the agency, do they make home visits, referral / intake processes, home-school</w:t>
      </w:r>
    </w:p>
    <w:p w:rsidR="005A02C9" w:rsidRPr="00DF7483" w:rsidRDefault="00B90555" w:rsidP="00DF7483">
      <w:pPr>
        <w:pStyle w:val="ListParagraph1"/>
        <w:numPr>
          <w:ilvl w:val="0"/>
          <w:numId w:val="3"/>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Information to help families: (ensure equity of information)</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Understand and find community resources to meet their needs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bCs/>
          <w:w w:val="95"/>
          <w:sz w:val="24"/>
          <w:szCs w:val="24"/>
        </w:rPr>
        <w:t>School</w:t>
      </w:r>
      <w:r w:rsidRPr="00DF7483">
        <w:rPr>
          <w:rFonts w:ascii="Arial" w:hAnsi="Arial" w:cs="Arial"/>
          <w:bCs/>
          <w:spacing w:val="-10"/>
          <w:w w:val="95"/>
          <w:sz w:val="24"/>
          <w:szCs w:val="24"/>
        </w:rPr>
        <w:t xml:space="preserve"> </w:t>
      </w:r>
      <w:r w:rsidRPr="00DF7483">
        <w:rPr>
          <w:rFonts w:ascii="Arial" w:hAnsi="Arial" w:cs="Arial"/>
          <w:bCs/>
          <w:w w:val="95"/>
          <w:sz w:val="24"/>
          <w:szCs w:val="24"/>
        </w:rPr>
        <w:t xml:space="preserve">policies on community visitors </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bCs/>
          <w:w w:val="95"/>
          <w:sz w:val="24"/>
          <w:szCs w:val="24"/>
        </w:rPr>
        <w:t>School policies on absences for community agency appointments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bCs/>
          <w:spacing w:val="-1"/>
          <w:w w:val="95"/>
          <w:sz w:val="24"/>
          <w:szCs w:val="24"/>
        </w:rPr>
        <w:t>Post-graduation transition options (colleges/universities, employment, services student can access as young adult, college and career fair)</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bCs/>
          <w:spacing w:val="-1"/>
          <w:w w:val="95"/>
          <w:sz w:val="24"/>
          <w:szCs w:val="24"/>
        </w:rPr>
        <w:t>Parent Mentor / Parent support groups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bCs/>
          <w:spacing w:val="-1"/>
          <w:w w:val="95"/>
          <w:sz w:val="24"/>
          <w:szCs w:val="24"/>
        </w:rPr>
        <w:t>Parent Learning meetings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After school programs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Summer programs</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Tutoring</w:t>
      </w:r>
    </w:p>
    <w:p w:rsidR="005A02C9" w:rsidRPr="00DF7483" w:rsidRDefault="00B90555">
      <w:pPr>
        <w:pStyle w:val="ListParagraph1"/>
        <w:numPr>
          <w:ilvl w:val="1"/>
          <w:numId w:val="2"/>
        </w:numPr>
        <w:kinsoku w:val="0"/>
        <w:overflowPunct w:val="0"/>
        <w:autoSpaceDE w:val="0"/>
        <w:autoSpaceDN w:val="0"/>
        <w:adjustRightInd w:val="0"/>
        <w:spacing w:after="100" w:afterAutospacing="1" w:line="222" w:lineRule="auto"/>
        <w:ind w:right="70"/>
        <w:rPr>
          <w:rFonts w:ascii="Arial" w:hAnsi="Arial" w:cs="Arial"/>
          <w:sz w:val="24"/>
          <w:szCs w:val="24"/>
        </w:rPr>
      </w:pPr>
      <w:r w:rsidRPr="00DF7483">
        <w:rPr>
          <w:rFonts w:ascii="Arial" w:hAnsi="Arial" w:cs="Arial"/>
          <w:sz w:val="24"/>
          <w:szCs w:val="24"/>
        </w:rPr>
        <w:t>Health services</w:t>
      </w:r>
    </w:p>
    <w:p w:rsidR="005A02C9" w:rsidRPr="00DF7483" w:rsidRDefault="00B90555">
      <w:pPr>
        <w:pStyle w:val="ListParagraph1"/>
        <w:numPr>
          <w:ilvl w:val="1"/>
          <w:numId w:val="2"/>
        </w:numPr>
        <w:kinsoku w:val="0"/>
        <w:overflowPunct w:val="0"/>
        <w:spacing w:after="100" w:afterAutospacing="1" w:line="222" w:lineRule="auto"/>
        <w:ind w:right="70"/>
        <w:rPr>
          <w:rFonts w:ascii="Arial" w:hAnsi="Arial" w:cs="Arial"/>
          <w:sz w:val="24"/>
          <w:szCs w:val="24"/>
        </w:rPr>
      </w:pPr>
      <w:r w:rsidRPr="00DF7483">
        <w:rPr>
          <w:rFonts w:ascii="Arial" w:hAnsi="Arial" w:cs="Arial"/>
          <w:sz w:val="24"/>
          <w:szCs w:val="24"/>
        </w:rPr>
        <w:t>Fine arts enrichment</w:t>
      </w:r>
    </w:p>
    <w:p w:rsidR="005A02C9" w:rsidRPr="00DF7483" w:rsidRDefault="00B90555">
      <w:pPr>
        <w:pStyle w:val="ListParagraph1"/>
        <w:numPr>
          <w:ilvl w:val="1"/>
          <w:numId w:val="2"/>
        </w:numPr>
        <w:kinsoku w:val="0"/>
        <w:overflowPunct w:val="0"/>
        <w:spacing w:after="100" w:afterAutospacing="1" w:line="222" w:lineRule="auto"/>
        <w:ind w:right="70"/>
        <w:rPr>
          <w:rFonts w:ascii="Arial" w:hAnsi="Arial" w:cs="Arial"/>
          <w:sz w:val="24"/>
          <w:szCs w:val="24"/>
        </w:rPr>
      </w:pPr>
      <w:r w:rsidRPr="00DF7483">
        <w:rPr>
          <w:rFonts w:ascii="Arial" w:hAnsi="Arial" w:cs="Arial"/>
          <w:sz w:val="24"/>
          <w:szCs w:val="24"/>
        </w:rPr>
        <w:t>Cultural center / events</w:t>
      </w:r>
    </w:p>
    <w:p w:rsidR="005A02C9" w:rsidRPr="00DF7483" w:rsidRDefault="00B90555">
      <w:pPr>
        <w:pStyle w:val="ListParagraph1"/>
        <w:numPr>
          <w:ilvl w:val="1"/>
          <w:numId w:val="2"/>
        </w:numPr>
        <w:kinsoku w:val="0"/>
        <w:overflowPunct w:val="0"/>
        <w:spacing w:after="100" w:afterAutospacing="1" w:line="222" w:lineRule="auto"/>
        <w:ind w:right="70"/>
        <w:rPr>
          <w:rFonts w:ascii="Arial" w:hAnsi="Arial" w:cs="Arial"/>
          <w:sz w:val="24"/>
          <w:szCs w:val="24"/>
        </w:rPr>
      </w:pPr>
      <w:r w:rsidRPr="00DF7483">
        <w:rPr>
          <w:rFonts w:ascii="Arial" w:hAnsi="Arial" w:cs="Arial"/>
          <w:sz w:val="24"/>
          <w:szCs w:val="24"/>
        </w:rPr>
        <w:t>Service opportunities, summer programs, part-time jobs</w:t>
      </w:r>
    </w:p>
    <w:p w:rsidR="005A02C9" w:rsidRPr="00DF7483" w:rsidRDefault="00B90555">
      <w:pPr>
        <w:pStyle w:val="ListParagraph1"/>
        <w:numPr>
          <w:ilvl w:val="1"/>
          <w:numId w:val="2"/>
        </w:numPr>
        <w:kinsoku w:val="0"/>
        <w:overflowPunct w:val="0"/>
        <w:spacing w:after="100" w:afterAutospacing="1" w:line="222" w:lineRule="auto"/>
        <w:ind w:right="70"/>
        <w:rPr>
          <w:rFonts w:ascii="Arial" w:hAnsi="Arial" w:cs="Arial"/>
          <w:sz w:val="24"/>
          <w:szCs w:val="24"/>
        </w:rPr>
      </w:pPr>
      <w:r w:rsidRPr="00DF7483">
        <w:rPr>
          <w:rFonts w:ascii="Arial" w:hAnsi="Arial" w:cs="Arial"/>
          <w:sz w:val="24"/>
          <w:szCs w:val="24"/>
        </w:rPr>
        <w:t>Scholarships</w:t>
      </w:r>
    </w:p>
    <w:p w:rsidR="005A02C9" w:rsidRPr="00DF7483" w:rsidRDefault="00B90555">
      <w:pPr>
        <w:pStyle w:val="ListParagraph1"/>
        <w:numPr>
          <w:ilvl w:val="1"/>
          <w:numId w:val="2"/>
        </w:numPr>
        <w:kinsoku w:val="0"/>
        <w:overflowPunct w:val="0"/>
        <w:spacing w:after="100" w:afterAutospacing="1" w:line="222" w:lineRule="auto"/>
        <w:ind w:right="70"/>
        <w:rPr>
          <w:rFonts w:ascii="Arial" w:hAnsi="Arial" w:cs="Arial"/>
          <w:sz w:val="24"/>
          <w:szCs w:val="24"/>
        </w:rPr>
      </w:pPr>
      <w:r w:rsidRPr="00DF7483">
        <w:rPr>
          <w:rFonts w:ascii="Arial" w:hAnsi="Arial" w:cs="Arial"/>
          <w:sz w:val="24"/>
          <w:szCs w:val="24"/>
        </w:rPr>
        <w:t>Social Services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eastAsia="Times New Roman" w:hAnsi="Arial" w:cs="Arial"/>
          <w:sz w:val="24"/>
          <w:szCs w:val="24"/>
        </w:rPr>
        <w:t>Include community members on school improvement initiatives / teams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eastAsia="Times New Roman" w:hAnsi="Arial" w:cs="Arial"/>
          <w:kern w:val="24"/>
          <w:sz w:val="24"/>
          <w:szCs w:val="24"/>
        </w:rPr>
        <w:t xml:space="preserve">Develop “pen pal” connections that increase students’ writing and other school skills (learning </w:t>
      </w:r>
      <w:r w:rsidR="00DF7483">
        <w:rPr>
          <w:rFonts w:ascii="Arial" w:eastAsia="Times New Roman" w:hAnsi="Arial" w:cs="Arial"/>
          <w:kern w:val="24"/>
          <w:sz w:val="24"/>
          <w:szCs w:val="24"/>
        </w:rPr>
        <w:t>of cultures, countries, etc.</w:t>
      </w:r>
      <w:r w:rsidRPr="00DF7483">
        <w:rPr>
          <w:rFonts w:ascii="Arial" w:eastAsia="Times New Roman" w:hAnsi="Arial" w:cs="Arial"/>
          <w:kern w:val="24"/>
          <w:sz w:val="24"/>
          <w:szCs w:val="24"/>
        </w:rPr>
        <w:t>)</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Include parents/family members as community agency / business / career exploration speaker</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Encourage after-school staff and teachers to observe each other to support student learning</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Invite after-school program staff to attend professional development activities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Organize and maintain an active parent–teacher organization(s) that focuses on community partnerships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Offer parent and student training in community leadership and collaboration</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Encourage parents to invite representatives from community agency that student may work with to student-focused meetings (ETR, IEP, other)</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Provide information on community activities that link to learning skills and talents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 xml:space="preserve">Involve families and students in field trips in the community that enrich learning </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Partner with community organizations / local businesses and older students in district for mentor program</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Work with local businesses to organize discounts as incentives for students to improve attendance and grades; as fund-raising activities; as employment opportunities; as service-learning opportunities.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lastRenderedPageBreak/>
        <w:t>Recognize and link students’ valuable learning experiences in the community to the school curriculum – build lessons on  non-school skills and talents, club and volunteer work, and part-time jobs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Organize performances and hands-on activities to feature activities from various cultural groups; host cultural fair and tie to curriculum activities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Have a “parent / alumni” participant day at a sports team / school club activity – parents / alumni run drills with students</w:t>
      </w:r>
      <w:r w:rsidR="00DF7483">
        <w:rPr>
          <w:rFonts w:ascii="Arial" w:hAnsi="Arial" w:cs="Arial"/>
          <w:sz w:val="24"/>
          <w:szCs w:val="24"/>
        </w:rPr>
        <w:t>, parents vs. students, etc.</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 xml:space="preserve">Make sure the school building incorporates the culture of (represents) the community </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Organize a community resource fair</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Organize a “community walk” and encourage agencies / businesses to have open house</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Work with local grocers / farmers to provide healthy snacks</w:t>
      </w:r>
    </w:p>
    <w:p w:rsid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Have a “parent learning center” area within school district – offer resources, computers, GED classes, ESL clas</w:t>
      </w:r>
      <w:r w:rsidR="00DF7483">
        <w:rPr>
          <w:rFonts w:ascii="Arial" w:hAnsi="Arial" w:cs="Arial"/>
          <w:sz w:val="24"/>
          <w:szCs w:val="24"/>
        </w:rPr>
        <w:t>ses, parenting classes, etc.</w:t>
      </w:r>
      <w:r w:rsidRPr="00DF7483">
        <w:rPr>
          <w:rFonts w:ascii="Arial" w:hAnsi="Arial" w:cs="Arial"/>
          <w:sz w:val="24"/>
          <w:szCs w:val="24"/>
        </w:rPr>
        <w:t xml:space="preserve"> – partner with libraries, social services, courts, and other agencies that would serve areas of family needs</w:t>
      </w:r>
    </w:p>
    <w:p w:rsidR="005A02C9" w:rsidRPr="00DF7483" w:rsidRDefault="00B90555" w:rsidP="00DF7483">
      <w:pPr>
        <w:pStyle w:val="ListParagraph1"/>
        <w:numPr>
          <w:ilvl w:val="0"/>
          <w:numId w:val="4"/>
        </w:numPr>
        <w:spacing w:after="0" w:line="240" w:lineRule="auto"/>
        <w:rPr>
          <w:rFonts w:ascii="Arial" w:eastAsia="Times New Roman" w:hAnsi="Arial" w:cs="Arial"/>
          <w:sz w:val="24"/>
          <w:szCs w:val="24"/>
        </w:rPr>
      </w:pPr>
      <w:r w:rsidRPr="00DF7483">
        <w:rPr>
          <w:rFonts w:ascii="Arial" w:hAnsi="Arial" w:cs="Arial"/>
          <w:sz w:val="24"/>
          <w:szCs w:val="24"/>
        </w:rPr>
        <w:t>Enhance Types 1-5 with community partners</w:t>
      </w:r>
    </w:p>
    <w:p w:rsidR="005A02C9" w:rsidRPr="00DF7483" w:rsidRDefault="005A02C9">
      <w:pPr>
        <w:pStyle w:val="ListParagraph1"/>
        <w:rPr>
          <w:rFonts w:ascii="Arial" w:hAnsi="Arial" w:cs="Arial"/>
          <w:sz w:val="24"/>
          <w:szCs w:val="24"/>
        </w:rPr>
      </w:pPr>
    </w:p>
    <w:p w:rsidR="005A02C9" w:rsidRPr="00DF7483" w:rsidRDefault="005A02C9">
      <w:pPr>
        <w:pStyle w:val="ListParagraph1"/>
        <w:kinsoku w:val="0"/>
        <w:overflowPunct w:val="0"/>
        <w:spacing w:after="100" w:afterAutospacing="1" w:line="222" w:lineRule="auto"/>
        <w:ind w:right="70"/>
        <w:rPr>
          <w:rFonts w:ascii="Arial" w:hAnsi="Arial" w:cs="Arial"/>
          <w:sz w:val="24"/>
          <w:szCs w:val="24"/>
        </w:rPr>
      </w:pPr>
    </w:p>
    <w:p w:rsidR="00B90555" w:rsidRPr="00DF7483" w:rsidRDefault="00B90555">
      <w:pPr>
        <w:pStyle w:val="ListParagraph1"/>
        <w:kinsoku w:val="0"/>
        <w:overflowPunct w:val="0"/>
        <w:spacing w:after="100" w:afterAutospacing="1" w:line="222" w:lineRule="auto"/>
        <w:ind w:right="70"/>
        <w:rPr>
          <w:rFonts w:ascii="Arial" w:hAnsi="Arial" w:cs="Arial"/>
          <w:sz w:val="24"/>
          <w:szCs w:val="24"/>
        </w:rPr>
      </w:pPr>
    </w:p>
    <w:p w:rsidR="00B90555" w:rsidRPr="00DF7483" w:rsidRDefault="00B90555">
      <w:pPr>
        <w:pStyle w:val="ListParagraph1"/>
        <w:kinsoku w:val="0"/>
        <w:overflowPunct w:val="0"/>
        <w:spacing w:after="100" w:afterAutospacing="1" w:line="222" w:lineRule="auto"/>
        <w:ind w:right="70"/>
        <w:rPr>
          <w:rFonts w:ascii="Arial" w:hAnsi="Arial" w:cs="Arial"/>
          <w:sz w:val="24"/>
          <w:szCs w:val="24"/>
        </w:rPr>
      </w:pPr>
    </w:p>
    <w:p w:rsidR="005A02C9" w:rsidRPr="00DF7483" w:rsidRDefault="00DF7483" w:rsidP="00DF7483">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5A02C9" w:rsidRPr="00DF7483" w:rsidRDefault="00B90555">
      <w:pPr>
        <w:autoSpaceDE w:val="0"/>
        <w:autoSpaceDN w:val="0"/>
        <w:adjustRightInd w:val="0"/>
        <w:spacing w:after="0" w:line="240" w:lineRule="auto"/>
        <w:rPr>
          <w:rFonts w:ascii="Arial" w:hAnsi="Arial" w:cs="Arial"/>
          <w:iCs/>
          <w:sz w:val="24"/>
          <w:szCs w:val="24"/>
        </w:rPr>
      </w:pPr>
      <w:r w:rsidRPr="00DF7483">
        <w:rPr>
          <w:rFonts w:ascii="Arial" w:hAnsi="Arial" w:cs="Arial"/>
          <w:i/>
          <w:iCs/>
          <w:sz w:val="24"/>
          <w:szCs w:val="24"/>
        </w:rPr>
        <w:t xml:space="preserve">Beyond the Bake Sale: The Essential Guide to Family-School-Partnerships, </w:t>
      </w:r>
      <w:r w:rsidR="00DF7483">
        <w:rPr>
          <w:rFonts w:ascii="Arial" w:hAnsi="Arial" w:cs="Arial"/>
          <w:iCs/>
          <w:sz w:val="24"/>
          <w:szCs w:val="24"/>
        </w:rPr>
        <w:t xml:space="preserve">by Henderson, A.T. et al. </w:t>
      </w:r>
      <w:r w:rsidRPr="00DF7483">
        <w:rPr>
          <w:rFonts w:ascii="Arial" w:hAnsi="Arial" w:cs="Arial"/>
          <w:iCs/>
          <w:sz w:val="24"/>
          <w:szCs w:val="24"/>
        </w:rPr>
        <w:t xml:space="preserve">(2007). </w:t>
      </w:r>
      <w:proofErr w:type="gramStart"/>
      <w:r w:rsidRPr="00DF7483">
        <w:rPr>
          <w:rFonts w:ascii="Arial" w:hAnsi="Arial" w:cs="Arial"/>
          <w:iCs/>
          <w:sz w:val="24"/>
          <w:szCs w:val="24"/>
        </w:rPr>
        <w:t>The</w:t>
      </w:r>
      <w:proofErr w:type="gramEnd"/>
      <w:r w:rsidRPr="00DF7483">
        <w:rPr>
          <w:rFonts w:ascii="Arial" w:hAnsi="Arial" w:cs="Arial"/>
          <w:iCs/>
          <w:sz w:val="24"/>
          <w:szCs w:val="24"/>
        </w:rPr>
        <w:t xml:space="preserve"> New Press.</w:t>
      </w:r>
    </w:p>
    <w:p w:rsidR="005A02C9" w:rsidRPr="00DF7483" w:rsidRDefault="005A02C9">
      <w:pPr>
        <w:autoSpaceDE w:val="0"/>
        <w:autoSpaceDN w:val="0"/>
        <w:adjustRightInd w:val="0"/>
        <w:spacing w:after="0" w:line="240" w:lineRule="auto"/>
        <w:rPr>
          <w:rFonts w:ascii="Arial" w:hAnsi="Arial" w:cs="Arial"/>
          <w:iCs/>
          <w:sz w:val="24"/>
          <w:szCs w:val="24"/>
        </w:rPr>
      </w:pPr>
    </w:p>
    <w:p w:rsidR="005A02C9" w:rsidRPr="00DF7483" w:rsidRDefault="00B90555">
      <w:pPr>
        <w:kinsoku w:val="0"/>
        <w:overflowPunct w:val="0"/>
        <w:autoSpaceDE w:val="0"/>
        <w:autoSpaceDN w:val="0"/>
        <w:adjustRightInd w:val="0"/>
        <w:spacing w:after="0" w:line="240" w:lineRule="auto"/>
        <w:rPr>
          <w:rFonts w:ascii="Arial" w:hAnsi="Arial" w:cs="Arial"/>
          <w:sz w:val="24"/>
          <w:szCs w:val="24"/>
        </w:rPr>
      </w:pPr>
      <w:r w:rsidRPr="00DF7483">
        <w:rPr>
          <w:rFonts w:ascii="Arial" w:hAnsi="Arial" w:cs="Arial"/>
          <w:sz w:val="24"/>
          <w:szCs w:val="24"/>
        </w:rPr>
        <w:t>Coalition for Community Schools:  Scaling Up School and Community Partnerships Guide</w:t>
      </w:r>
    </w:p>
    <w:p w:rsidR="005A02C9" w:rsidRPr="00DF7483" w:rsidRDefault="00DF7483">
      <w:pPr>
        <w:kinsoku w:val="0"/>
        <w:overflowPunct w:val="0"/>
        <w:autoSpaceDE w:val="0"/>
        <w:autoSpaceDN w:val="0"/>
        <w:adjustRightInd w:val="0"/>
        <w:spacing w:after="0" w:line="240" w:lineRule="auto"/>
        <w:rPr>
          <w:rFonts w:ascii="Arial" w:hAnsi="Arial" w:cs="Arial"/>
          <w:iCs/>
          <w:sz w:val="24"/>
          <w:szCs w:val="24"/>
        </w:rPr>
      </w:pPr>
      <w:hyperlink r:id="rId8" w:history="1">
        <w:r w:rsidR="00B90555" w:rsidRPr="00DF7483">
          <w:rPr>
            <w:rStyle w:val="Hyperlink"/>
            <w:rFonts w:ascii="Arial" w:hAnsi="Arial" w:cs="Arial"/>
            <w:sz w:val="24"/>
            <w:szCs w:val="24"/>
          </w:rPr>
          <w:t>http://www.communityschools.org/ScalingUp/</w:t>
        </w:r>
      </w:hyperlink>
    </w:p>
    <w:p w:rsidR="005A02C9" w:rsidRPr="00DF7483" w:rsidRDefault="005A02C9">
      <w:pPr>
        <w:autoSpaceDE w:val="0"/>
        <w:autoSpaceDN w:val="0"/>
        <w:adjustRightInd w:val="0"/>
        <w:spacing w:after="0" w:line="240" w:lineRule="auto"/>
        <w:rPr>
          <w:rFonts w:ascii="Arial" w:hAnsi="Arial" w:cs="Arial"/>
          <w:iCs/>
          <w:sz w:val="24"/>
          <w:szCs w:val="24"/>
        </w:rPr>
      </w:pPr>
    </w:p>
    <w:p w:rsidR="005A02C9" w:rsidRPr="00DF7483" w:rsidRDefault="00B90555">
      <w:pPr>
        <w:autoSpaceDE w:val="0"/>
        <w:autoSpaceDN w:val="0"/>
        <w:adjustRightInd w:val="0"/>
        <w:spacing w:after="0" w:line="240" w:lineRule="auto"/>
        <w:rPr>
          <w:rFonts w:ascii="Arial" w:hAnsi="Arial" w:cs="Arial"/>
          <w:iCs/>
          <w:sz w:val="24"/>
          <w:szCs w:val="24"/>
        </w:rPr>
      </w:pPr>
      <w:r w:rsidRPr="00DF7483">
        <w:rPr>
          <w:rFonts w:ascii="Arial" w:hAnsi="Arial" w:cs="Arial"/>
          <w:iCs/>
          <w:sz w:val="24"/>
          <w:szCs w:val="24"/>
        </w:rPr>
        <w:t>Ohio Department of Education</w:t>
      </w:r>
      <w:r w:rsidRPr="00DF7483">
        <w:rPr>
          <w:rFonts w:ascii="Arial" w:hAnsi="Arial" w:cs="Arial"/>
          <w:iCs/>
          <w:sz w:val="24"/>
          <w:szCs w:val="24"/>
        </w:rPr>
        <w:tab/>
      </w:r>
    </w:p>
    <w:p w:rsidR="005A02C9" w:rsidRPr="00DF7483" w:rsidRDefault="00DF7483">
      <w:pPr>
        <w:autoSpaceDE w:val="0"/>
        <w:autoSpaceDN w:val="0"/>
        <w:adjustRightInd w:val="0"/>
        <w:spacing w:after="0" w:line="240" w:lineRule="auto"/>
        <w:rPr>
          <w:rFonts w:ascii="Arial" w:hAnsi="Arial" w:cs="Arial"/>
          <w:iCs/>
          <w:sz w:val="24"/>
          <w:szCs w:val="24"/>
        </w:rPr>
      </w:pPr>
      <w:hyperlink r:id="rId9" w:history="1">
        <w:r w:rsidR="00B90555" w:rsidRPr="00DF7483">
          <w:rPr>
            <w:rStyle w:val="Hyperlink"/>
            <w:rFonts w:ascii="Arial" w:hAnsi="Arial" w:cs="Arial"/>
            <w:iCs/>
            <w:sz w:val="24"/>
            <w:szCs w:val="24"/>
          </w:rPr>
          <w:t>http://education.ohio.gov/Topics/Other-Resources/Family-and-Community-Engagement</w:t>
        </w:r>
      </w:hyperlink>
    </w:p>
    <w:p w:rsidR="005A02C9" w:rsidRPr="00DF7483" w:rsidRDefault="005A02C9">
      <w:pPr>
        <w:autoSpaceDE w:val="0"/>
        <w:autoSpaceDN w:val="0"/>
        <w:adjustRightInd w:val="0"/>
        <w:spacing w:after="0" w:line="240" w:lineRule="auto"/>
        <w:rPr>
          <w:rFonts w:ascii="Arial" w:hAnsi="Arial" w:cs="Arial"/>
          <w:i/>
          <w:iCs/>
          <w:sz w:val="24"/>
          <w:szCs w:val="24"/>
        </w:rPr>
      </w:pPr>
    </w:p>
    <w:p w:rsidR="00DF7483" w:rsidRDefault="00B90555">
      <w:pPr>
        <w:autoSpaceDE w:val="0"/>
        <w:autoSpaceDN w:val="0"/>
        <w:adjustRightInd w:val="0"/>
        <w:spacing w:after="0" w:line="240" w:lineRule="auto"/>
        <w:rPr>
          <w:rFonts w:ascii="Arial" w:hAnsi="Arial" w:cs="Arial"/>
          <w:sz w:val="24"/>
          <w:szCs w:val="24"/>
        </w:rPr>
      </w:pPr>
      <w:r w:rsidRPr="00DF7483">
        <w:rPr>
          <w:rFonts w:ascii="Arial" w:hAnsi="Arial" w:cs="Arial"/>
          <w:i/>
          <w:iCs/>
          <w:sz w:val="24"/>
          <w:szCs w:val="24"/>
        </w:rPr>
        <w:t>School, Family, and Community Partnerships, Third Edition</w:t>
      </w:r>
      <w:r w:rsidRPr="00DF7483">
        <w:rPr>
          <w:rFonts w:ascii="Arial" w:hAnsi="Arial" w:cs="Arial"/>
          <w:sz w:val="24"/>
          <w:szCs w:val="24"/>
        </w:rPr>
        <w:t>, by J.L. Epstein et al</w:t>
      </w:r>
      <w:proofErr w:type="gramStart"/>
      <w:r w:rsidRPr="00DF7483">
        <w:rPr>
          <w:rFonts w:ascii="Arial" w:hAnsi="Arial" w:cs="Arial"/>
          <w:sz w:val="24"/>
          <w:szCs w:val="24"/>
        </w:rPr>
        <w:t>..</w:t>
      </w:r>
      <w:proofErr w:type="gramEnd"/>
      <w:r w:rsidRPr="00DF7483">
        <w:rPr>
          <w:rFonts w:ascii="Arial" w:hAnsi="Arial" w:cs="Arial"/>
          <w:sz w:val="24"/>
          <w:szCs w:val="24"/>
        </w:rPr>
        <w:t xml:space="preserve"> (2009). Corwin Press.</w:t>
      </w:r>
    </w:p>
    <w:p w:rsidR="00DF7483" w:rsidRPr="00DF7483" w:rsidRDefault="00DF7483" w:rsidP="00DF7483">
      <w:pPr>
        <w:rPr>
          <w:rFonts w:ascii="Arial" w:hAnsi="Arial" w:cs="Arial"/>
          <w:sz w:val="24"/>
          <w:szCs w:val="24"/>
        </w:rPr>
      </w:pPr>
    </w:p>
    <w:p w:rsidR="00DF7483" w:rsidRPr="00DF7483" w:rsidRDefault="00DF7483" w:rsidP="00DF7483">
      <w:pPr>
        <w:rPr>
          <w:rFonts w:ascii="Arial" w:hAnsi="Arial" w:cs="Arial"/>
          <w:sz w:val="24"/>
          <w:szCs w:val="24"/>
        </w:rPr>
      </w:pPr>
    </w:p>
    <w:p w:rsidR="00DF7483" w:rsidRPr="00DF7483" w:rsidRDefault="00DF7483" w:rsidP="00DF7483">
      <w:pPr>
        <w:rPr>
          <w:rFonts w:ascii="Arial" w:hAnsi="Arial" w:cs="Arial"/>
          <w:sz w:val="24"/>
          <w:szCs w:val="24"/>
        </w:rPr>
      </w:pPr>
    </w:p>
    <w:p w:rsidR="00DF7483" w:rsidRPr="00DF7483" w:rsidRDefault="00DF7483" w:rsidP="00DF7483">
      <w:pPr>
        <w:rPr>
          <w:rFonts w:ascii="Arial" w:hAnsi="Arial" w:cs="Arial"/>
          <w:sz w:val="24"/>
          <w:szCs w:val="24"/>
        </w:rPr>
      </w:pPr>
    </w:p>
    <w:p w:rsidR="00DF7483" w:rsidRPr="00DF7483" w:rsidRDefault="00DF7483" w:rsidP="00DF7483">
      <w:pPr>
        <w:rPr>
          <w:rFonts w:ascii="Arial" w:hAnsi="Arial" w:cs="Arial"/>
          <w:sz w:val="24"/>
          <w:szCs w:val="24"/>
        </w:rPr>
      </w:pPr>
      <w:bookmarkStart w:id="0" w:name="_GoBack"/>
      <w:bookmarkEnd w:id="0"/>
    </w:p>
    <w:p w:rsidR="00DF7483" w:rsidRDefault="00DF7483" w:rsidP="00DF7483">
      <w:pPr>
        <w:rPr>
          <w:rFonts w:ascii="Arial" w:hAnsi="Arial" w:cs="Arial"/>
          <w:sz w:val="24"/>
          <w:szCs w:val="24"/>
        </w:rPr>
      </w:pPr>
    </w:p>
    <w:p w:rsidR="005A02C9" w:rsidRPr="00DF7483" w:rsidRDefault="00DF7483" w:rsidP="00DF7483">
      <w:pPr>
        <w:ind w:firstLine="720"/>
        <w:rPr>
          <w:rFonts w:ascii="Arial"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122DEA2C" wp14:editId="067D4512">
                <wp:simplePos x="0" y="0"/>
                <wp:positionH relativeFrom="margin">
                  <wp:posOffset>0</wp:posOffset>
                </wp:positionH>
                <wp:positionV relativeFrom="paragraph">
                  <wp:posOffset>-635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83" w:rsidRPr="00647D51" w:rsidRDefault="00DF7483" w:rsidP="00DF748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EA2C" id="Rectangle 3" o:spid="_x0000_s1031" style="position:absolute;left:0;text-align:left;margin-left:0;margin-top:-.0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" filled="f" stroked="f">
                <v:path arrowok="t"/>
                <o:lock v:ext="edit" grouping="t"/>
                <v:textbox inset="2.53919mm,1.2697mm,2.53919mm,1.2697mm">
                  <w:txbxContent>
                    <w:p w:rsidR="00DF7483" w:rsidRPr="00647D51" w:rsidRDefault="00DF7483" w:rsidP="00DF748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5A02C9" w:rsidRPr="00DF7483">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58E3AFB"/>
    <w:multiLevelType w:val="hybridMultilevel"/>
    <w:tmpl w:val="4628E510"/>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4CC"/>
    <w:multiLevelType w:val="hybridMultilevel"/>
    <w:tmpl w:val="98A0C84E"/>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5380"/>
    <w:multiLevelType w:val="multilevel"/>
    <w:tmpl w:val="1E15538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2E0925"/>
    <w:multiLevelType w:val="multilevel"/>
    <w:tmpl w:val="682E0925"/>
    <w:lvl w:ilvl="0">
      <w:numFmt w:val="bullet"/>
      <w:lvlText w:val="-"/>
      <w:lvlJc w:val="left"/>
      <w:pPr>
        <w:ind w:left="1120" w:hanging="360"/>
      </w:pPr>
      <w:rPr>
        <w:rFonts w:ascii="Arial" w:eastAsia="Calibri" w:hAnsi="Arial" w:cs="Arial" w:hint="default"/>
        <w:sz w:val="36"/>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C9"/>
    <w:rsid w:val="00341A05"/>
    <w:rsid w:val="005A02C9"/>
    <w:rsid w:val="00B90555"/>
    <w:rsid w:val="00D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B798572"/>
  <w15:docId w15:val="{A9A80634-72AD-41A3-9281-B14745A2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unhideWhenUsed/>
    <w:rsid w:val="00DF748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tyschools.org/Scaling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webSettings" Target="webSettings.xml"/><Relationship Id="rId10"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hyperlink" Target="http://education.ohio.gov/Topics/Other-Resources/Family-and-Community-Engag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COLLABORATING WITH THE COMMUNITY Activities</vt:lpstr>
    </vt:vector>
  </TitlesOfParts>
  <Company>HP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WITH THE COMMUNITY Activities</dc:title>
  <dc:creator>Tanya Braden</dc:creator>
  <cp:lastModifiedBy>Tori Schenker</cp:lastModifiedBy>
  <cp:revision>2</cp:revision>
  <dcterms:created xsi:type="dcterms:W3CDTF">2017-09-05T18:36:00Z</dcterms:created>
  <dcterms:modified xsi:type="dcterms:W3CDTF">2017-09-05T18:36:00Z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