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7E83" w:rsidRPr="004D797E" w:rsidRDefault="00556314" w:rsidP="0093010E">
      <w:pPr>
        <w:spacing w:line="228" w:lineRule="auto"/>
        <w:jc w:val="center"/>
        <w:rPr>
          <w:b/>
          <w:bCs/>
          <w:sz w:val="44"/>
          <w:szCs w:val="44"/>
          <w:lang w:val="es-US"/>
        </w:rPr>
      </w:pPr>
      <w:bookmarkStart w:id="0" w:name="_GoBack"/>
      <w:r w:rsidRPr="004D797E">
        <w:rPr>
          <w:sz w:val="44"/>
          <w:szCs w:val="44"/>
          <w:u w:val="single"/>
          <w:lang w:val="es-US"/>
        </w:rPr>
        <w:t>RESUMEN</w:t>
      </w:r>
    </w:p>
    <w:p w:rsidR="000F7E83" w:rsidRPr="004D797E" w:rsidRDefault="00556314" w:rsidP="0093010E">
      <w:pPr>
        <w:spacing w:line="228" w:lineRule="auto"/>
        <w:jc w:val="center"/>
        <w:rPr>
          <w:b/>
          <w:bCs/>
          <w:sz w:val="44"/>
          <w:szCs w:val="44"/>
          <w:lang w:val="es-US"/>
        </w:rPr>
      </w:pPr>
      <w:r w:rsidRPr="004D797E">
        <w:rPr>
          <w:b/>
          <w:bCs/>
          <w:sz w:val="44"/>
          <w:szCs w:val="44"/>
          <w:lang w:val="es-US"/>
        </w:rPr>
        <w:t xml:space="preserve">La confianza en las escuelas: </w:t>
      </w:r>
      <w:r w:rsidRPr="004D797E">
        <w:rPr>
          <w:b/>
          <w:bCs/>
          <w:sz w:val="44"/>
          <w:szCs w:val="44"/>
          <w:lang w:val="es-US"/>
        </w:rPr>
        <w:br/>
        <w:t>Un recurso clave para la reforma escolar</w:t>
      </w:r>
    </w:p>
    <w:p w:rsidR="000F7E83" w:rsidRPr="004D797E" w:rsidRDefault="00556314" w:rsidP="0093010E">
      <w:pPr>
        <w:spacing w:line="228" w:lineRule="auto"/>
        <w:jc w:val="center"/>
        <w:rPr>
          <w:b/>
          <w:bCs/>
          <w:sz w:val="44"/>
          <w:szCs w:val="44"/>
          <w:lang w:val="es-US"/>
        </w:rPr>
      </w:pPr>
      <w:r w:rsidRPr="004D797E">
        <w:rPr>
          <w:sz w:val="32"/>
          <w:szCs w:val="32"/>
          <w:lang w:val="es-US"/>
        </w:rPr>
        <w:t xml:space="preserve">Anthony S. </w:t>
      </w:r>
      <w:proofErr w:type="spellStart"/>
      <w:r w:rsidRPr="004D797E">
        <w:rPr>
          <w:sz w:val="32"/>
          <w:szCs w:val="32"/>
          <w:lang w:val="es-US"/>
        </w:rPr>
        <w:t>Bryk</w:t>
      </w:r>
      <w:proofErr w:type="spellEnd"/>
      <w:r w:rsidRPr="004D797E">
        <w:rPr>
          <w:sz w:val="32"/>
          <w:szCs w:val="32"/>
          <w:lang w:val="es-US"/>
        </w:rPr>
        <w:t xml:space="preserve"> y Barbara Schneider</w:t>
      </w:r>
    </w:p>
    <w:p w:rsidR="000F7E83" w:rsidRPr="004D797E" w:rsidRDefault="000F7E83" w:rsidP="0093010E">
      <w:pPr>
        <w:spacing w:line="228" w:lineRule="auto"/>
        <w:rPr>
          <w:sz w:val="32"/>
          <w:szCs w:val="32"/>
          <w:lang w:val="es-US"/>
        </w:rPr>
      </w:pPr>
    </w:p>
    <w:p w:rsidR="000F7E83" w:rsidRPr="004D797E" w:rsidRDefault="00556314" w:rsidP="0093010E">
      <w:pPr>
        <w:spacing w:line="228" w:lineRule="auto"/>
        <w:rPr>
          <w:sz w:val="28"/>
          <w:szCs w:val="28"/>
          <w:lang w:val="es-US"/>
        </w:rPr>
      </w:pPr>
      <w:proofErr w:type="spellStart"/>
      <w:r w:rsidRPr="004D797E">
        <w:rPr>
          <w:sz w:val="28"/>
          <w:szCs w:val="28"/>
          <w:lang w:val="es-US"/>
        </w:rPr>
        <w:t>Educational</w:t>
      </w:r>
      <w:proofErr w:type="spellEnd"/>
      <w:r w:rsidRPr="004D797E">
        <w:rPr>
          <w:sz w:val="28"/>
          <w:szCs w:val="28"/>
          <w:lang w:val="es-US"/>
        </w:rPr>
        <w:t xml:space="preserve"> </w:t>
      </w:r>
      <w:proofErr w:type="spellStart"/>
      <w:r w:rsidRPr="004D797E">
        <w:rPr>
          <w:sz w:val="28"/>
          <w:szCs w:val="28"/>
          <w:lang w:val="es-US"/>
        </w:rPr>
        <w:t>Leadership</w:t>
      </w:r>
      <w:proofErr w:type="spellEnd"/>
    </w:p>
    <w:p w:rsidR="000F7E83" w:rsidRPr="004D797E" w:rsidRDefault="00556314" w:rsidP="0093010E">
      <w:pPr>
        <w:spacing w:line="228" w:lineRule="auto"/>
        <w:rPr>
          <w:sz w:val="28"/>
          <w:szCs w:val="28"/>
          <w:lang w:val="es-US"/>
        </w:rPr>
      </w:pPr>
      <w:r w:rsidRPr="004D797E">
        <w:rPr>
          <w:sz w:val="28"/>
          <w:szCs w:val="28"/>
          <w:lang w:val="es-US"/>
        </w:rPr>
        <w:t xml:space="preserve">Marzo de 2003 | Volumen 60 | Número 6 </w:t>
      </w:r>
      <w:proofErr w:type="spellStart"/>
      <w:r w:rsidRPr="004D797E">
        <w:rPr>
          <w:sz w:val="28"/>
          <w:szCs w:val="28"/>
          <w:lang w:val="es-US"/>
        </w:rPr>
        <w:t>Creating</w:t>
      </w:r>
      <w:proofErr w:type="spellEnd"/>
      <w:r w:rsidRPr="004D797E">
        <w:rPr>
          <w:sz w:val="28"/>
          <w:szCs w:val="28"/>
          <w:lang w:val="es-US"/>
        </w:rPr>
        <w:t xml:space="preserve"> </w:t>
      </w:r>
      <w:proofErr w:type="spellStart"/>
      <w:r w:rsidRPr="004D797E">
        <w:rPr>
          <w:sz w:val="28"/>
          <w:szCs w:val="28"/>
          <w:lang w:val="es-US"/>
        </w:rPr>
        <w:t>Caring</w:t>
      </w:r>
      <w:proofErr w:type="spellEnd"/>
      <w:r w:rsidRPr="004D797E">
        <w:rPr>
          <w:sz w:val="28"/>
          <w:szCs w:val="28"/>
          <w:lang w:val="es-US"/>
        </w:rPr>
        <w:t xml:space="preserve"> Schools | Páginas 40 a 45 </w:t>
      </w:r>
    </w:p>
    <w:p w:rsidR="000F7E83" w:rsidRPr="004D797E" w:rsidRDefault="000F7E83" w:rsidP="0093010E">
      <w:pPr>
        <w:spacing w:line="228" w:lineRule="auto"/>
        <w:rPr>
          <w:sz w:val="32"/>
          <w:szCs w:val="32"/>
          <w:lang w:val="es-US"/>
        </w:rPr>
      </w:pPr>
    </w:p>
    <w:p w:rsidR="000F7E83" w:rsidRPr="004D797E" w:rsidRDefault="00556314" w:rsidP="0093010E">
      <w:pPr>
        <w:spacing w:line="228" w:lineRule="auto"/>
        <w:rPr>
          <w:sz w:val="32"/>
          <w:szCs w:val="32"/>
          <w:lang w:val="es-US"/>
        </w:rPr>
      </w:pPr>
      <w:r w:rsidRPr="004D797E">
        <w:rPr>
          <w:color w:val="0000FF"/>
          <w:sz w:val="32"/>
          <w:szCs w:val="32"/>
          <w:lang w:val="es-US"/>
        </w:rPr>
        <w:t>http://www.ascd.org/publications/educational-leadership/mar03/vol60/num06/Trust-in-Schools@-A-Core-Resource-for-School-Reform.aspx</w:t>
      </w:r>
    </w:p>
    <w:p w:rsidR="000F7E83" w:rsidRPr="004D797E" w:rsidRDefault="000F7E83" w:rsidP="0093010E">
      <w:pPr>
        <w:spacing w:line="228" w:lineRule="auto"/>
        <w:rPr>
          <w:sz w:val="32"/>
          <w:szCs w:val="32"/>
          <w:lang w:val="es-US"/>
        </w:rPr>
      </w:pPr>
    </w:p>
    <w:p w:rsidR="000F7E83" w:rsidRPr="004D797E" w:rsidRDefault="00556314" w:rsidP="0093010E">
      <w:pPr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>* La investigación reciente demuestra que la confianza social entre maestros, padres y líderes escolares mejora en gran parte el trabajo rutinario de las escuelas y que constituye un recurso clave para la reforma.</w:t>
      </w:r>
    </w:p>
    <w:p w:rsidR="000F7E83" w:rsidRPr="004D797E" w:rsidRDefault="000F7E83" w:rsidP="0093010E">
      <w:pPr>
        <w:spacing w:line="228" w:lineRule="auto"/>
        <w:rPr>
          <w:sz w:val="32"/>
          <w:szCs w:val="32"/>
          <w:lang w:val="es-US"/>
        </w:rPr>
      </w:pPr>
    </w:p>
    <w:p w:rsidR="000F7E83" w:rsidRPr="004D797E" w:rsidRDefault="00556314" w:rsidP="0093010E">
      <w:pPr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>* Una escuela comunitaria funciona a partir de las dependencias mutuas de los intercambios entre la administración, el personal, los padres y los alumnos.</w:t>
      </w:r>
    </w:p>
    <w:p w:rsidR="000F7E83" w:rsidRPr="004D797E" w:rsidRDefault="000F7E83" w:rsidP="0093010E">
      <w:pPr>
        <w:spacing w:line="228" w:lineRule="auto"/>
        <w:rPr>
          <w:sz w:val="32"/>
          <w:szCs w:val="32"/>
          <w:lang w:val="es-US"/>
        </w:rPr>
      </w:pPr>
    </w:p>
    <w:p w:rsidR="000F7E83" w:rsidRPr="004D797E" w:rsidRDefault="00556314" w:rsidP="0093010E">
      <w:pPr>
        <w:spacing w:line="228" w:lineRule="auto"/>
        <w:rPr>
          <w:b/>
          <w:bCs/>
          <w:sz w:val="32"/>
          <w:szCs w:val="32"/>
          <w:u w:val="single"/>
          <w:lang w:val="es-US"/>
        </w:rPr>
      </w:pPr>
      <w:r w:rsidRPr="004D797E">
        <w:rPr>
          <w:sz w:val="32"/>
          <w:szCs w:val="32"/>
          <w:lang w:val="es-US"/>
        </w:rPr>
        <w:t xml:space="preserve">* </w:t>
      </w:r>
      <w:r w:rsidRPr="004D797E">
        <w:rPr>
          <w:b/>
          <w:bCs/>
          <w:sz w:val="32"/>
          <w:szCs w:val="32"/>
          <w:u w:val="single"/>
          <w:lang w:val="es-US"/>
        </w:rPr>
        <w:t>Condiciones que desarrollan la confianza</w:t>
      </w:r>
    </w:p>
    <w:p w:rsidR="000F7E83" w:rsidRPr="004D797E" w:rsidRDefault="00556314" w:rsidP="0093010E">
      <w:pPr>
        <w:numPr>
          <w:ilvl w:val="0"/>
          <w:numId w:val="1"/>
        </w:numPr>
        <w:tabs>
          <w:tab w:val="left" w:pos="420"/>
        </w:tabs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>Respeto</w:t>
      </w:r>
    </w:p>
    <w:p w:rsidR="000F7E83" w:rsidRPr="004D797E" w:rsidRDefault="00556314" w:rsidP="0093010E">
      <w:pPr>
        <w:numPr>
          <w:ilvl w:val="0"/>
          <w:numId w:val="1"/>
        </w:numPr>
        <w:tabs>
          <w:tab w:val="left" w:pos="420"/>
        </w:tabs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>Estima personal (compromiso)</w:t>
      </w:r>
    </w:p>
    <w:p w:rsidR="000F7E83" w:rsidRPr="004D797E" w:rsidRDefault="00556314" w:rsidP="0093010E">
      <w:pPr>
        <w:numPr>
          <w:ilvl w:val="0"/>
          <w:numId w:val="1"/>
        </w:numPr>
        <w:tabs>
          <w:tab w:val="left" w:pos="420"/>
        </w:tabs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 xml:space="preserve">Competencia en las responsabilidades de los roles fundamentales </w:t>
      </w:r>
    </w:p>
    <w:p w:rsidR="000F7E83" w:rsidRPr="004D797E" w:rsidRDefault="00556314" w:rsidP="0093010E">
      <w:pPr>
        <w:numPr>
          <w:ilvl w:val="0"/>
          <w:numId w:val="1"/>
        </w:numPr>
        <w:tabs>
          <w:tab w:val="left" w:pos="420"/>
        </w:tabs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>Integridad personal (promoción)</w:t>
      </w:r>
    </w:p>
    <w:p w:rsidR="000F7E83" w:rsidRPr="004D797E" w:rsidRDefault="000F7E83" w:rsidP="0093010E">
      <w:pPr>
        <w:spacing w:line="228" w:lineRule="auto"/>
        <w:rPr>
          <w:sz w:val="32"/>
          <w:szCs w:val="32"/>
          <w:lang w:val="es-US"/>
        </w:rPr>
      </w:pPr>
    </w:p>
    <w:p w:rsidR="000F7E83" w:rsidRPr="004D797E" w:rsidRDefault="00556314" w:rsidP="0093010E">
      <w:pPr>
        <w:spacing w:line="228" w:lineRule="auto"/>
        <w:rPr>
          <w:b/>
          <w:bCs/>
          <w:sz w:val="32"/>
          <w:szCs w:val="32"/>
          <w:u w:val="single"/>
          <w:lang w:val="es-US"/>
        </w:rPr>
      </w:pPr>
      <w:r w:rsidRPr="004D797E">
        <w:rPr>
          <w:sz w:val="32"/>
          <w:szCs w:val="32"/>
          <w:lang w:val="es-US"/>
        </w:rPr>
        <w:t xml:space="preserve">* </w:t>
      </w:r>
      <w:r w:rsidRPr="004D797E">
        <w:rPr>
          <w:b/>
          <w:bCs/>
          <w:sz w:val="32"/>
          <w:szCs w:val="32"/>
          <w:u w:val="single"/>
          <w:lang w:val="es-US"/>
        </w:rPr>
        <w:t>Condiciones que estimulan la confianza</w:t>
      </w:r>
    </w:p>
    <w:p w:rsidR="000F7E83" w:rsidRPr="004D797E" w:rsidRDefault="00556314" w:rsidP="0093010E">
      <w:pPr>
        <w:numPr>
          <w:ilvl w:val="0"/>
          <w:numId w:val="2"/>
        </w:numPr>
        <w:tabs>
          <w:tab w:val="left" w:pos="420"/>
        </w:tabs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>Liderazgo del director</w:t>
      </w:r>
    </w:p>
    <w:p w:rsidR="000F7E83" w:rsidRPr="004D797E" w:rsidRDefault="00556314" w:rsidP="0093010E">
      <w:pPr>
        <w:numPr>
          <w:ilvl w:val="0"/>
          <w:numId w:val="2"/>
        </w:numPr>
        <w:tabs>
          <w:tab w:val="left" w:pos="420"/>
        </w:tabs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>Contacto de los maestros con los padres</w:t>
      </w:r>
    </w:p>
    <w:p w:rsidR="000F7E83" w:rsidRPr="004D797E" w:rsidRDefault="00556314" w:rsidP="0093010E">
      <w:pPr>
        <w:numPr>
          <w:ilvl w:val="0"/>
          <w:numId w:val="2"/>
        </w:numPr>
        <w:tabs>
          <w:tab w:val="left" w:pos="420"/>
        </w:tabs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>Mayores interacciones personalizadas con todas las “personas” involucradas en la comunidad</w:t>
      </w:r>
    </w:p>
    <w:p w:rsidR="000F7E83" w:rsidRPr="004D797E" w:rsidRDefault="00556314" w:rsidP="0093010E">
      <w:pPr>
        <w:numPr>
          <w:ilvl w:val="0"/>
          <w:numId w:val="2"/>
        </w:numPr>
        <w:tabs>
          <w:tab w:val="left" w:pos="420"/>
        </w:tabs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>Oportunidades de voluntariado</w:t>
      </w:r>
    </w:p>
    <w:p w:rsidR="000F7E83" w:rsidRPr="004D797E" w:rsidRDefault="000F7E83" w:rsidP="0093010E">
      <w:pPr>
        <w:spacing w:line="228" w:lineRule="auto"/>
        <w:rPr>
          <w:sz w:val="32"/>
          <w:szCs w:val="32"/>
          <w:lang w:val="es-US"/>
        </w:rPr>
      </w:pPr>
    </w:p>
    <w:p w:rsidR="000F7E83" w:rsidRPr="004D797E" w:rsidRDefault="00556314" w:rsidP="0093010E">
      <w:pPr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 xml:space="preserve">* </w:t>
      </w:r>
      <w:r w:rsidRPr="004D797E">
        <w:rPr>
          <w:b/>
          <w:bCs/>
          <w:sz w:val="32"/>
          <w:szCs w:val="32"/>
          <w:u w:val="single"/>
          <w:lang w:val="es-US"/>
        </w:rPr>
        <w:t>La confianza fuerte produce...</w:t>
      </w:r>
    </w:p>
    <w:p w:rsidR="000F7E83" w:rsidRPr="004D797E" w:rsidRDefault="00556314" w:rsidP="0093010E">
      <w:pPr>
        <w:numPr>
          <w:ilvl w:val="0"/>
          <w:numId w:val="3"/>
        </w:numPr>
        <w:tabs>
          <w:tab w:val="left" w:pos="420"/>
        </w:tabs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>Toma de decisiones colectivas</w:t>
      </w:r>
    </w:p>
    <w:p w:rsidR="000F7E83" w:rsidRPr="004D797E" w:rsidRDefault="00556314" w:rsidP="0093010E">
      <w:pPr>
        <w:numPr>
          <w:ilvl w:val="0"/>
          <w:numId w:val="3"/>
        </w:numPr>
        <w:tabs>
          <w:tab w:val="left" w:pos="420"/>
        </w:tabs>
        <w:spacing w:line="228" w:lineRule="auto"/>
        <w:rPr>
          <w:sz w:val="32"/>
          <w:szCs w:val="32"/>
          <w:lang w:val="es-US"/>
        </w:rPr>
      </w:pPr>
      <w:r w:rsidRPr="004D797E">
        <w:rPr>
          <w:sz w:val="32"/>
          <w:szCs w:val="32"/>
          <w:lang w:val="es-US"/>
        </w:rPr>
        <w:t xml:space="preserve">Aceptación por parte de los maestros para cambiar las prácticas </w:t>
      </w:r>
    </w:p>
    <w:p w:rsidR="00556314" w:rsidRPr="004D797E" w:rsidRDefault="00556314" w:rsidP="0093010E">
      <w:pPr>
        <w:numPr>
          <w:ilvl w:val="0"/>
          <w:numId w:val="3"/>
        </w:numPr>
        <w:tabs>
          <w:tab w:val="left" w:pos="420"/>
        </w:tabs>
        <w:spacing w:line="228" w:lineRule="auto"/>
        <w:rPr>
          <w:b/>
          <w:bCs/>
          <w:u w:val="single"/>
          <w:lang w:val="es-US"/>
        </w:rPr>
      </w:pPr>
      <w:r w:rsidRPr="004D797E">
        <w:rPr>
          <w:sz w:val="32"/>
          <w:szCs w:val="32"/>
          <w:lang w:val="es-US"/>
        </w:rPr>
        <w:t>Mejora general de la escuela</w:t>
      </w:r>
      <w:bookmarkEnd w:id="0"/>
    </w:p>
    <w:sectPr w:rsidR="00556314" w:rsidRPr="004D797E">
      <w:pgSz w:w="12247" w:h="15819"/>
      <w:pgMar w:top="1213" w:right="1287" w:bottom="1213" w:left="1287" w:header="708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AE28"/>
    <w:multiLevelType w:val="singleLevel"/>
    <w:tmpl w:val="5485AE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</w:abstractNum>
  <w:abstractNum w:abstractNumId="1">
    <w:nsid w:val="5485AE72"/>
    <w:multiLevelType w:val="singleLevel"/>
    <w:tmpl w:val="5485AE72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</w:abstractNum>
  <w:abstractNum w:abstractNumId="2">
    <w:nsid w:val="5485AEA1"/>
    <w:multiLevelType w:val="singleLevel"/>
    <w:tmpl w:val="5485AEA1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0"/>
  <w:drawingGridVerticalSpacing w:val="14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7E83"/>
    <w:rsid w:val="00172A27"/>
    <w:rsid w:val="003D6517"/>
    <w:rsid w:val="004D797E"/>
    <w:rsid w:val="00556314"/>
    <w:rsid w:val="0093010E"/>
    <w:rsid w:val="0098224A"/>
    <w:rsid w:val="009E582A"/>
    <w:rsid w:val="00F7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in Schools: _x000b_A Core Resource for School Reform</vt:lpstr>
    </vt:vector>
  </TitlesOfParts>
  <Manager/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in Schools: _x000b_A Core Resource for School Reform</dc:title>
  <dc:subject/>
  <dc:creator>RJ</dc:creator>
  <cp:keywords/>
  <dc:description/>
  <cp:lastModifiedBy>Valeria</cp:lastModifiedBy>
  <cp:revision>8</cp:revision>
  <dcterms:created xsi:type="dcterms:W3CDTF">2015-06-02T13:06:00Z</dcterms:created>
  <dcterms:modified xsi:type="dcterms:W3CDTF">2015-10-28T16:32:00Z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